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verdana_11_bold"/>
        </w:rPr>
        <w:t xml:space="preserve">Trade Facilitation Agreement</w:t>
      </w:r>
    </w:p>
    <w:p>
      <w:pPr>
        <w:jc w:val="center"/>
      </w:pPr>
      <w:r>
        <w:rPr>
          <w:rStyle w:val="verdana_11_bold"/>
        </w:rPr>
        <w:t xml:space="preserve">Status of implementation commitments</w:t>
      </w:r>
    </w:p>
    <w:p>
      <w:pPr>
        <w:jc w:val="center"/>
      </w:pPr>
      <w:r>
        <w:rPr>
          <w:rStyle w:val="verdana_10"/>
        </w:rPr>
        <w:t xml:space="preserve">1 January 2026 - 31 December 2027</w:t>
      </w:r>
    </w:p>
    <w:p>
      <w:pPr/>
      <w:r>
        <w:rPr/>
        <w:t xml:space="preserve"/>
      </w:r>
    </w:p>
    <w:p>
      <w:hyperlink r:id="rId7" w:history="1">
        <w:r>
          <w:rPr>
            <w:rStyle w:val="verdana_9_bold"/>
          </w:rPr>
          <w:t xml:space="preserve">Afghanistan</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10.7</w:t>
            </w:r>
          </w:p>
        </w:tc>
        <w:tc>
          <w:tcPr>
            <w:tcW w:w="3000" w:type="dxa"/>
            <w:noWrap/>
          </w:tcPr>
          <w:p>
            <w:pPr>
              <w:pStyle w:val="no_space_after"/>
            </w:pPr>
            <w:r>
              <w:rPr>
                <w:rStyle w:val="verdana_9"/>
              </w:rPr>
              <w:t xml:space="preserve">Common border procedures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11.1, 11.2, 11.6, 11.12, 11.14, 11.15, 11.17</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12.1</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bl>
    <w:p>
      <w:pPr/>
      <w:r>
        <w:rPr/>
        <w:t xml:space="preserve"/>
      </w:r>
    </w:p>
    <w:p>
      <w:hyperlink r:id="rId8" w:history="1">
        <w:r>
          <w:rPr>
            <w:rStyle w:val="verdana_9_bold"/>
          </w:rPr>
          <w:t xml:space="preserve">Angola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10.7</w:t>
            </w:r>
          </w:p>
        </w:tc>
        <w:tc>
          <w:tcPr>
            <w:tcW w:w="3000" w:type="dxa"/>
            <w:noWrap/>
          </w:tcPr>
          <w:p>
            <w:pPr>
              <w:pStyle w:val="no_space_after"/>
            </w:pPr>
            <w:r>
              <w:rPr>
                <w:rStyle w:val="verdana_9"/>
              </w:rPr>
              <w:t xml:space="preserve">Common border procedures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2026</w:t>
            </w:r>
          </w:p>
        </w:tc>
      </w:tr>
    </w:tbl>
    <w:p>
      <w:pPr/>
      <w:r>
        <w:rPr/>
        <w:t xml:space="preserve"/>
      </w:r>
    </w:p>
    <w:p>
      <w:hyperlink r:id="rId9" w:history="1">
        <w:r>
          <w:rPr>
            <w:rStyle w:val="verdana_9_bold"/>
          </w:rPr>
          <w:t xml:space="preserve">Argentina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3.9 (a) (ii)</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23 January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25 January 2026</w:t>
            </w:r>
          </w:p>
        </w:tc>
      </w:tr>
    </w:tbl>
    <w:p>
      <w:pPr/>
      <w:r>
        <w:rPr/>
        <w:t xml:space="preserve"/>
      </w:r>
    </w:p>
    <w:p>
      <w:hyperlink r:id="rId10" w:history="1">
        <w:r>
          <w:rPr>
            <w:rStyle w:val="verdana_9_bold"/>
          </w:rPr>
          <w:t xml:space="preserve">Bangladesh</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10.1.1 (a)</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bl>
    <w:p>
      <w:pPr/>
      <w:r>
        <w:rPr/>
        <w:t xml:space="preserve"/>
      </w:r>
    </w:p>
    <w:p>
      <w:hyperlink r:id="rId11" w:history="1">
        <w:r>
          <w:rPr>
            <w:rStyle w:val="verdana_9_bold"/>
          </w:rPr>
          <w:t xml:space="preserve">Barbados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6.2</w:t>
            </w:r>
          </w:p>
        </w:tc>
        <w:tc>
          <w:tcPr>
            <w:tcW w:w="3000" w:type="dxa"/>
            <w:noWrap/>
          </w:tcPr>
          <w:p>
            <w:pPr>
              <w:pStyle w:val="no_space_after"/>
            </w:pPr>
            <w:r>
              <w:rPr>
                <w:rStyle w:val="verdana_9"/>
              </w:rPr>
              <w:t xml:space="preserve">Specific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12" w:history="1">
        <w:r>
          <w:rPr>
            <w:rStyle w:val="verdana_9_bold"/>
          </w:rPr>
          <w:t xml:space="preserve">Botswana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13" w:history="1">
        <w:r>
          <w:rPr>
            <w:rStyle w:val="verdana_9_bold"/>
          </w:rPr>
          <w:t xml:space="preserve">Burkina Faso</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6.2</w:t>
            </w:r>
          </w:p>
        </w:tc>
        <w:tc>
          <w:tcPr>
            <w:tcW w:w="3000" w:type="dxa"/>
            <w:noWrap/>
          </w:tcPr>
          <w:p>
            <w:pPr>
              <w:pStyle w:val="no_space_after"/>
            </w:pPr>
            <w:r>
              <w:rPr>
                <w:rStyle w:val="verdana_9"/>
              </w:rPr>
              <w:t xml:space="preserve">Specific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14" w:history="1">
        <w:r>
          <w:rPr>
            <w:rStyle w:val="verdana_9_bold"/>
          </w:rPr>
          <w:t xml:space="preserve">Burundi</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1.1.1</w:t>
            </w:r>
          </w:p>
        </w:tc>
        <w:tc>
          <w:tcPr>
            <w:tcW w:w="3000" w:type="dxa"/>
            <w:noWrap/>
          </w:tcPr>
          <w:p>
            <w:pPr>
              <w:pStyle w:val="no_space_after"/>
            </w:pPr>
            <w:r>
              <w:rPr>
                <w:rStyle w:val="verdana_9"/>
              </w:rPr>
              <w:t xml:space="preserve">Publication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15" w:history="1">
        <w:r>
          <w:rPr>
            <w:rStyle w:val="verdana_9_bold"/>
          </w:rPr>
          <w:t xml:space="preserve">Cabo Verde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2026</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2027</w:t>
            </w:r>
          </w:p>
        </w:tc>
      </w:tr>
    </w:tbl>
    <w:p>
      <w:pPr/>
      <w:r>
        <w:rPr/>
        <w:t xml:space="preserve"/>
      </w:r>
    </w:p>
    <w:p>
      <w:hyperlink r:id="rId16" w:history="1">
        <w:r>
          <w:rPr>
            <w:rStyle w:val="verdana_9_bold"/>
          </w:rPr>
          <w:t xml:space="preserve">Central African Republic</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1.4</w:t>
            </w:r>
          </w:p>
        </w:tc>
        <w:tc>
          <w:tcPr>
            <w:tcW w:w="3000" w:type="dxa"/>
            <w:noWrap/>
          </w:tcPr>
          <w:p>
            <w:pPr>
              <w:pStyle w:val="no_space_after"/>
            </w:pPr>
            <w:r>
              <w:rPr>
                <w:rStyle w:val="verdana_9"/>
              </w:rPr>
              <w:t xml:space="preserve">Notification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5.2</w:t>
            </w:r>
          </w:p>
        </w:tc>
        <w:tc>
          <w:tcPr>
            <w:tcW w:w="3000" w:type="dxa"/>
            <w:noWrap/>
          </w:tcPr>
          <w:p>
            <w:pPr>
              <w:pStyle w:val="no_space_after"/>
            </w:pPr>
            <w:r>
              <w:rPr>
                <w:rStyle w:val="verdana_9"/>
              </w:rPr>
              <w:t xml:space="preserve">Detention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6.2</w:t>
            </w:r>
          </w:p>
        </w:tc>
        <w:tc>
          <w:tcPr>
            <w:tcW w:w="3000" w:type="dxa"/>
            <w:noWrap/>
          </w:tcPr>
          <w:p>
            <w:pPr>
              <w:pStyle w:val="no_space_after"/>
            </w:pPr>
            <w:r>
              <w:rPr>
                <w:rStyle w:val="verdana_9"/>
              </w:rPr>
              <w:t xml:space="preserve">Specific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17" w:history="1">
        <w:r>
          <w:rPr>
            <w:rStyle w:val="verdana_9_bold"/>
          </w:rPr>
          <w:t xml:space="preserve">Chad</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7.9</w:t>
            </w:r>
          </w:p>
        </w:tc>
        <w:tc>
          <w:tcPr>
            <w:tcW w:w="3000" w:type="dxa"/>
            <w:noWrap/>
          </w:tcPr>
          <w:p>
            <w:pPr>
              <w:pStyle w:val="no_space_after"/>
            </w:pPr>
            <w:r>
              <w:rPr>
                <w:rStyle w:val="verdana_9"/>
              </w:rPr>
              <w:t xml:space="preserve">Perishable goods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January 2026</w:t>
            </w:r>
          </w:p>
        </w:tc>
      </w:tr>
    </w:tbl>
    <w:p>
      <w:pPr/>
      <w:r>
        <w:rPr/>
        <w:t xml:space="preserve"/>
      </w:r>
    </w:p>
    <w:p>
      <w:hyperlink r:id="rId18" w:history="1">
        <w:r>
          <w:rPr>
            <w:rStyle w:val="verdana_9_bold"/>
          </w:rPr>
          <w:t xml:space="preserve">Comoros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10.9</w:t>
            </w:r>
          </w:p>
        </w:tc>
        <w:tc>
          <w:tcPr>
            <w:tcW w:w="3000" w:type="dxa"/>
            <w:noWrap/>
          </w:tcPr>
          <w:p>
            <w:pPr>
              <w:pStyle w:val="no_space_after"/>
            </w:pPr>
            <w:r>
              <w:rPr>
                <w:rStyle w:val="verdana_9"/>
              </w:rPr>
              <w:t xml:space="preserve">Temporary admission of goods and inward and outward processing</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bl>
    <w:p>
      <w:pPr/>
      <w:r>
        <w:rPr/>
        <w:t xml:space="preserve"/>
      </w:r>
    </w:p>
    <w:p>
      <w:hyperlink r:id="rId19" w:history="1">
        <w:r>
          <w:rPr>
            <w:rStyle w:val="verdana_9_bold"/>
          </w:rPr>
          <w:t xml:space="preserve">Congo</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March 2027</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May 2027</w:t>
            </w:r>
          </w:p>
        </w:tc>
      </w:tr>
      <w:tr>
        <w:trPr>
          <w:cantSplit w:val="1"/>
        </w:trPr>
        <w:tc>
          <w:tcPr>
            <w:tcW w:w="1500" w:type="dxa"/>
            <w:noWrap/>
          </w:tcPr>
          <w:p>
            <w:pPr>
              <w:pStyle w:val="no_space_after"/>
            </w:pPr>
            <w:r>
              <w:rPr>
                <w:rStyle w:val="verdana_9"/>
              </w:rPr>
              <w:t xml:space="preserve">6.2</w:t>
            </w:r>
          </w:p>
        </w:tc>
        <w:tc>
          <w:tcPr>
            <w:tcW w:w="3000" w:type="dxa"/>
            <w:noWrap/>
          </w:tcPr>
          <w:p>
            <w:pPr>
              <w:pStyle w:val="no_space_after"/>
            </w:pPr>
            <w:r>
              <w:rPr>
                <w:rStyle w:val="verdana_9"/>
              </w:rPr>
              <w:t xml:space="preserve">Specific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May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March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April 2027</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March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11.14</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December 2026</w:t>
            </w:r>
          </w:p>
        </w:tc>
      </w:tr>
    </w:tbl>
    <w:p>
      <w:pPr/>
      <w:r>
        <w:rPr/>
        <w:t xml:space="preserve"/>
      </w:r>
    </w:p>
    <w:p>
      <w:hyperlink r:id="rId20" w:history="1">
        <w:r>
          <w:rPr>
            <w:rStyle w:val="verdana_9_bold"/>
          </w:rPr>
          <w:t xml:space="preserve">Cote d'Ivoire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10.2</w:t>
            </w:r>
          </w:p>
        </w:tc>
        <w:tc>
          <w:tcPr>
            <w:tcW w:w="3000" w:type="dxa"/>
            <w:noWrap/>
          </w:tcPr>
          <w:p>
            <w:pPr>
              <w:pStyle w:val="no_space_after"/>
            </w:pPr>
            <w:r>
              <w:rPr>
                <w:rStyle w:val="verdana_9"/>
              </w:rPr>
              <w:t xml:space="preserve">Acceptance of copies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10.6</w:t>
            </w:r>
          </w:p>
        </w:tc>
        <w:tc>
          <w:tcPr>
            <w:tcW w:w="3000" w:type="dxa"/>
            <w:noWrap/>
          </w:tcPr>
          <w:p>
            <w:pPr>
              <w:pStyle w:val="no_space_after"/>
            </w:pPr>
            <w:r>
              <w:rPr>
                <w:rStyle w:val="verdana_9"/>
              </w:rPr>
              <w:t xml:space="preserve">Use of customs brokers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21" w:history="1">
        <w:r>
          <w:rPr>
            <w:rStyle w:val="verdana_9_bold"/>
          </w:rPr>
          <w:t xml:space="preserve">Cuba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2027</w:t>
            </w:r>
          </w:p>
        </w:tc>
      </w:tr>
    </w:tbl>
    <w:p>
      <w:pPr/>
      <w:r>
        <w:rPr/>
        <w:t xml:space="preserve"/>
      </w:r>
    </w:p>
    <w:p>
      <w:hyperlink r:id="rId22" w:history="1">
        <w:r>
          <w:rPr>
            <w:rStyle w:val="verdana_9_bold"/>
          </w:rPr>
          <w:t xml:space="preserve">Djibouti</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1.1.1</w:t>
            </w:r>
          </w:p>
        </w:tc>
        <w:tc>
          <w:tcPr>
            <w:tcW w:w="3000" w:type="dxa"/>
            <w:noWrap/>
          </w:tcPr>
          <w:p>
            <w:pPr>
              <w:pStyle w:val="no_space_after"/>
            </w:pPr>
            <w:r>
              <w:rPr>
                <w:rStyle w:val="verdana_9"/>
              </w:rPr>
              <w:t xml:space="preserve">Publication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1.4</w:t>
            </w:r>
          </w:p>
        </w:tc>
        <w:tc>
          <w:tcPr>
            <w:tcW w:w="3000" w:type="dxa"/>
            <w:noWrap/>
          </w:tcPr>
          <w:p>
            <w:pPr>
              <w:pStyle w:val="no_space_after"/>
            </w:pPr>
            <w:r>
              <w:rPr>
                <w:rStyle w:val="verdana_9"/>
              </w:rPr>
              <w:t xml:space="preserve">Notification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10.9</w:t>
            </w:r>
          </w:p>
        </w:tc>
        <w:tc>
          <w:tcPr>
            <w:tcW w:w="3000" w:type="dxa"/>
            <w:noWrap/>
          </w:tcPr>
          <w:p>
            <w:pPr>
              <w:pStyle w:val="no_space_after"/>
            </w:pPr>
            <w:r>
              <w:rPr>
                <w:rStyle w:val="verdana_9"/>
              </w:rPr>
              <w:t xml:space="preserve">Temporary admission of goods and inward and outward processing</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11.1, 11.2, 11.3</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23" w:history="1">
        <w:r>
          <w:rPr>
            <w:rStyle w:val="verdana_9_bold"/>
          </w:rPr>
          <w:t xml:space="preserve">Ecuador</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15 July 2026</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15 July 2026</w:t>
            </w:r>
          </w:p>
        </w:tc>
      </w:tr>
      <w:tr>
        <w:trPr>
          <w:cantSplit w:val="1"/>
        </w:trPr>
        <w:tc>
          <w:tcPr>
            <w:tcW w:w="1500" w:type="dxa"/>
            <w:noWrap/>
          </w:tcPr>
          <w:p>
            <w:pPr>
              <w:pStyle w:val="no_space_after"/>
            </w:pPr>
            <w:r>
              <w:rPr>
                <w:rStyle w:val="verdana_9"/>
              </w:rPr>
              <w:t xml:space="preserve">10.2</w:t>
            </w:r>
          </w:p>
        </w:tc>
        <w:tc>
          <w:tcPr>
            <w:tcW w:w="3000" w:type="dxa"/>
            <w:noWrap/>
          </w:tcPr>
          <w:p>
            <w:pPr>
              <w:pStyle w:val="no_space_after"/>
            </w:pPr>
            <w:r>
              <w:rPr>
                <w:rStyle w:val="verdana_9"/>
              </w:rPr>
              <w:t xml:space="preserve">Acceptance of copies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15 July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15 July 2027</w:t>
            </w:r>
          </w:p>
        </w:tc>
      </w:tr>
    </w:tbl>
    <w:p>
      <w:pPr/>
      <w:r>
        <w:rPr/>
        <w:t xml:space="preserve"/>
      </w:r>
    </w:p>
    <w:p>
      <w:hyperlink r:id="rId24" w:history="1">
        <w:r>
          <w:rPr>
            <w:rStyle w:val="verdana_9_bold"/>
          </w:rPr>
          <w:t xml:space="preserve">Egypt</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1.4</w:t>
            </w:r>
          </w:p>
        </w:tc>
        <w:tc>
          <w:tcPr>
            <w:tcW w:w="3000" w:type="dxa"/>
            <w:noWrap/>
          </w:tcPr>
          <w:p>
            <w:pPr>
              <w:pStyle w:val="no_space_after"/>
            </w:pPr>
            <w:r>
              <w:rPr>
                <w:rStyle w:val="verdana_9"/>
              </w:rPr>
              <w:t xml:space="preserve">Notification</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11.4, 11.5, 11.6, 11.7, 11.8, 11.9, 11.10, 11.17</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25" w:history="1">
        <w:r>
          <w:rPr>
            <w:rStyle w:val="verdana_9_bold"/>
          </w:rPr>
          <w:t xml:space="preserve">El Salvador</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23 December 2027</w:t>
            </w:r>
          </w:p>
        </w:tc>
      </w:tr>
    </w:tbl>
    <w:p>
      <w:pPr/>
      <w:r>
        <w:rPr/>
        <w:t xml:space="preserve"/>
      </w:r>
    </w:p>
    <w:p>
      <w:hyperlink r:id="rId26" w:history="1">
        <w:r>
          <w:rPr>
            <w:rStyle w:val="verdana_9_bold"/>
          </w:rPr>
          <w:t xml:space="preserve">Eswatini</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August 2026</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7.9</w:t>
            </w:r>
          </w:p>
        </w:tc>
        <w:tc>
          <w:tcPr>
            <w:tcW w:w="3000" w:type="dxa"/>
            <w:noWrap/>
          </w:tcPr>
          <w:p>
            <w:pPr>
              <w:pStyle w:val="no_space_after"/>
            </w:pPr>
            <w:r>
              <w:rPr>
                <w:rStyle w:val="verdana_9"/>
              </w:rPr>
              <w:t xml:space="preserve">Perishable goods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9</w:t>
            </w:r>
          </w:p>
        </w:tc>
        <w:tc>
          <w:tcPr>
            <w:tcW w:w="3000" w:type="dxa"/>
            <w:noWrap/>
          </w:tcPr>
          <w:p>
            <w:pPr>
              <w:pStyle w:val="no_space_after"/>
            </w:pPr>
            <w:r>
              <w:rPr>
                <w:rStyle w:val="verdana_9"/>
              </w:rPr>
              <w:t xml:space="preserve">Movement of goods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10.2</w:t>
            </w:r>
          </w:p>
        </w:tc>
        <w:tc>
          <w:tcPr>
            <w:tcW w:w="3000" w:type="dxa"/>
            <w:noWrap/>
          </w:tcPr>
          <w:p>
            <w:pPr>
              <w:pStyle w:val="no_space_after"/>
            </w:pPr>
            <w:r>
              <w:rPr>
                <w:rStyle w:val="verdana_9"/>
              </w:rPr>
              <w:t xml:space="preserve">Acceptance of copies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10.7</w:t>
            </w:r>
          </w:p>
        </w:tc>
        <w:tc>
          <w:tcPr>
            <w:tcW w:w="3000" w:type="dxa"/>
            <w:noWrap/>
          </w:tcPr>
          <w:p>
            <w:pPr>
              <w:pStyle w:val="no_space_after"/>
            </w:pPr>
            <w:r>
              <w:rPr>
                <w:rStyle w:val="verdana_9"/>
              </w:rPr>
              <w:t xml:space="preserve">Common border procedures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10.8</w:t>
            </w:r>
          </w:p>
        </w:tc>
        <w:tc>
          <w:tcPr>
            <w:tcW w:w="3000" w:type="dxa"/>
            <w:noWrap/>
          </w:tcPr>
          <w:p>
            <w:pPr>
              <w:pStyle w:val="no_space_after"/>
            </w:pPr>
            <w:r>
              <w:rPr>
                <w:rStyle w:val="verdana_9"/>
              </w:rPr>
              <w:t xml:space="preserve">Rejected Goods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10.9</w:t>
            </w:r>
          </w:p>
        </w:tc>
        <w:tc>
          <w:tcPr>
            <w:tcW w:w="3000" w:type="dxa"/>
            <w:noWrap/>
          </w:tcPr>
          <w:p>
            <w:pPr>
              <w:pStyle w:val="no_space_after"/>
            </w:pPr>
            <w:r>
              <w:rPr>
                <w:rStyle w:val="verdana_9"/>
              </w:rPr>
              <w:t xml:space="preserve">Temporary admission of goods and inward and outward processing</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2027</w:t>
            </w:r>
          </w:p>
        </w:tc>
      </w:tr>
    </w:tbl>
    <w:p>
      <w:pPr/>
      <w:r>
        <w:rPr/>
        <w:t xml:space="preserve"/>
      </w:r>
    </w:p>
    <w:p>
      <w:hyperlink r:id="rId27" w:history="1">
        <w:r>
          <w:rPr>
            <w:rStyle w:val="verdana_9_bold"/>
          </w:rPr>
          <w:t xml:space="preserve">Gabon</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1.1.1</w:t>
            </w:r>
          </w:p>
        </w:tc>
        <w:tc>
          <w:tcPr>
            <w:tcW w:w="3000" w:type="dxa"/>
            <w:noWrap/>
          </w:tcPr>
          <w:p>
            <w:pPr>
              <w:pStyle w:val="no_space_after"/>
            </w:pPr>
            <w:r>
              <w:rPr>
                <w:rStyle w:val="verdana_9"/>
              </w:rPr>
              <w:t xml:space="preserve">Publication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1.4</w:t>
            </w:r>
          </w:p>
        </w:tc>
        <w:tc>
          <w:tcPr>
            <w:tcW w:w="3000" w:type="dxa"/>
            <w:noWrap/>
          </w:tcPr>
          <w:p>
            <w:pPr>
              <w:pStyle w:val="no_space_after"/>
            </w:pPr>
            <w:r>
              <w:rPr>
                <w:rStyle w:val="verdana_9"/>
              </w:rPr>
              <w:t xml:space="preserve">Notification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6.2</w:t>
            </w:r>
          </w:p>
        </w:tc>
        <w:tc>
          <w:tcPr>
            <w:tcW w:w="3000" w:type="dxa"/>
            <w:noWrap/>
          </w:tcPr>
          <w:p>
            <w:pPr>
              <w:pStyle w:val="no_space_after"/>
            </w:pPr>
            <w:r>
              <w:rPr>
                <w:rStyle w:val="verdana_9"/>
              </w:rPr>
              <w:t xml:space="preserve">Specific disciplines on fees and charges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7.3</w:t>
            </w:r>
          </w:p>
        </w:tc>
        <w:tc>
          <w:tcPr>
            <w:tcW w:w="3000" w:type="dxa"/>
            <w:noWrap/>
          </w:tcPr>
          <w:p>
            <w:pPr>
              <w:pStyle w:val="no_space_after"/>
            </w:pPr>
            <w:r>
              <w:rPr>
                <w:rStyle w:val="verdana_9"/>
              </w:rPr>
              <w:t xml:space="preserve">Separation of release</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bl>
    <w:p>
      <w:pPr/>
      <w:r>
        <w:rPr/>
        <w:t xml:space="preserve"/>
      </w:r>
    </w:p>
    <w:p>
      <w:hyperlink r:id="rId28" w:history="1">
        <w:r>
          <w:rPr>
            <w:rStyle w:val="verdana_9_bold"/>
          </w:rPr>
          <w:t xml:space="preserve">Gambia, The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29" w:history="1">
        <w:r>
          <w:rPr>
            <w:rStyle w:val="verdana_9_bold"/>
          </w:rPr>
          <w:t xml:space="preserve">Grenada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30" w:history="1">
        <w:r>
          <w:rPr>
            <w:rStyle w:val="verdana_9_bold"/>
          </w:rPr>
          <w:t xml:space="preserve">Guatemala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10.4.1, 10.4.2</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31" w:history="1">
        <w:r>
          <w:rPr>
            <w:rStyle w:val="verdana_9_bold"/>
          </w:rPr>
          <w:t xml:space="preserve">Guinea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32" w:history="1">
        <w:r>
          <w:rPr>
            <w:rStyle w:val="verdana_9_bold"/>
          </w:rPr>
          <w:t xml:space="preserve">Guyana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1.3.2</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2027</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8.2 (b), 8.2 (c), 8.2 (d), 8.2 (e)</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2027</w:t>
            </w:r>
          </w:p>
        </w:tc>
      </w:tr>
    </w:tbl>
    <w:p>
      <w:pPr/>
      <w:r>
        <w:rPr/>
        <w:t xml:space="preserve"/>
      </w:r>
    </w:p>
    <w:p>
      <w:hyperlink r:id="rId33" w:history="1">
        <w:r>
          <w:rPr>
            <w:rStyle w:val="verdana_9_bold"/>
          </w:rPr>
          <w:t xml:space="preserve">Honduras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7.3</w:t>
            </w:r>
          </w:p>
        </w:tc>
        <w:tc>
          <w:tcPr>
            <w:tcW w:w="3000" w:type="dxa"/>
            <w:noWrap/>
          </w:tcPr>
          <w:p>
            <w:pPr>
              <w:pStyle w:val="no_space_after"/>
            </w:pPr>
            <w:r>
              <w:rPr>
                <w:rStyle w:val="verdana_9"/>
              </w:rPr>
              <w:t xml:space="preserve">Separation of release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March 2026</w:t>
            </w:r>
          </w:p>
        </w:tc>
      </w:tr>
      <w:tr>
        <w:trPr>
          <w:cantSplit w:val="1"/>
        </w:trPr>
        <w:tc>
          <w:tcPr>
            <w:tcW w:w="1500" w:type="dxa"/>
            <w:noWrap/>
          </w:tcPr>
          <w:p>
            <w:pPr>
              <w:pStyle w:val="no_space_after"/>
            </w:pPr>
            <w:r>
              <w:rPr>
                <w:rStyle w:val="verdana_9"/>
              </w:rPr>
              <w:t xml:space="preserve">7.8.2 (d)</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1 March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March 2027</w:t>
            </w:r>
          </w:p>
        </w:tc>
      </w:tr>
    </w:tbl>
    <w:p>
      <w:pPr/>
      <w:r>
        <w:rPr/>
        <w:t xml:space="preserve"/>
      </w:r>
    </w:p>
    <w:p>
      <w:hyperlink r:id="rId34" w:history="1">
        <w:r>
          <w:rPr>
            <w:rStyle w:val="verdana_9_bold"/>
          </w:rPr>
          <w:t xml:space="preserve">Kenya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September 2027</w:t>
            </w:r>
          </w:p>
        </w:tc>
      </w:tr>
      <w:tr>
        <w:trPr>
          <w:cantSplit w:val="1"/>
        </w:trPr>
        <w:tc>
          <w:tcPr>
            <w:tcW w:w="1500" w:type="dxa"/>
            <w:noWrap/>
          </w:tcPr>
          <w:p>
            <w:pPr>
              <w:pStyle w:val="no_space_after"/>
            </w:pPr>
            <w:r>
              <w:rPr>
                <w:rStyle w:val="verdana_9"/>
              </w:rPr>
              <w:t xml:space="preserve">4.6</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bl>
    <w:p>
      <w:pPr/>
      <w:r>
        <w:rPr/>
        <w:t xml:space="preserve"/>
      </w:r>
    </w:p>
    <w:p>
      <w:hyperlink r:id="rId35" w:history="1">
        <w:r>
          <w:rPr>
            <w:rStyle w:val="verdana_9_bold"/>
          </w:rPr>
          <w:t xml:space="preserve">Lesotho</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36" w:history="1">
        <w:r>
          <w:rPr>
            <w:rStyle w:val="verdana_9_bold"/>
          </w:rPr>
          <w:t xml:space="preserve">Madagascar</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37" w:history="1">
        <w:r>
          <w:rPr>
            <w:rStyle w:val="verdana_9_bold"/>
          </w:rPr>
          <w:t xml:space="preserve">Malawi</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8.2</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bl>
    <w:p>
      <w:pPr/>
      <w:r>
        <w:rPr/>
        <w:t xml:space="preserve"/>
      </w:r>
    </w:p>
    <w:p>
      <w:hyperlink r:id="rId38" w:history="1">
        <w:r>
          <w:rPr>
            <w:rStyle w:val="verdana_9_bold"/>
          </w:rPr>
          <w:t xml:space="preserve">Maldives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1.1.1</w:t>
            </w:r>
          </w:p>
        </w:tc>
        <w:tc>
          <w:tcPr>
            <w:tcW w:w="3000" w:type="dxa"/>
            <w:noWrap/>
          </w:tcPr>
          <w:p>
            <w:pPr>
              <w:pStyle w:val="no_space_after"/>
            </w:pPr>
            <w:r>
              <w:rPr>
                <w:rStyle w:val="verdana_9"/>
              </w:rPr>
              <w:t xml:space="preserve">Publication</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December 2027</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7.3</w:t>
            </w:r>
          </w:p>
        </w:tc>
        <w:tc>
          <w:tcPr>
            <w:tcW w:w="3000" w:type="dxa"/>
            <w:noWrap/>
          </w:tcPr>
          <w:p>
            <w:pPr>
              <w:pStyle w:val="no_space_after"/>
            </w:pPr>
            <w:r>
              <w:rPr>
                <w:rStyle w:val="verdana_9"/>
              </w:rPr>
              <w:t xml:space="preserve">Separation of release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10.9</w:t>
            </w:r>
          </w:p>
        </w:tc>
        <w:tc>
          <w:tcPr>
            <w:tcW w:w="3000" w:type="dxa"/>
            <w:noWrap/>
          </w:tcPr>
          <w:p>
            <w:pPr>
              <w:pStyle w:val="no_space_after"/>
            </w:pPr>
            <w:r>
              <w:rPr>
                <w:rStyle w:val="verdana_9"/>
              </w:rPr>
              <w:t xml:space="preserve">Temporary admission of goods and inward and outward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39" w:history="1">
        <w:r>
          <w:rPr>
            <w:rStyle w:val="verdana_9_bold"/>
          </w:rPr>
          <w:t xml:space="preserve">Mali</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7.9</w:t>
            </w:r>
          </w:p>
        </w:tc>
        <w:tc>
          <w:tcPr>
            <w:tcW w:w="3000" w:type="dxa"/>
            <w:noWrap/>
          </w:tcPr>
          <w:p>
            <w:pPr>
              <w:pStyle w:val="no_space_after"/>
            </w:pPr>
            <w:r>
              <w:rPr>
                <w:rStyle w:val="verdana_9"/>
              </w:rPr>
              <w:t xml:space="preserve">Perishable goods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40" w:history="1">
        <w:r>
          <w:rPr>
            <w:rStyle w:val="verdana_9_bold"/>
          </w:rPr>
          <w:t xml:space="preserve">Mauritius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February 2026</w:t>
            </w:r>
          </w:p>
        </w:tc>
      </w:tr>
    </w:tbl>
    <w:p>
      <w:pPr/>
      <w:r>
        <w:rPr/>
        <w:t xml:space="preserve"/>
      </w:r>
    </w:p>
    <w:p>
      <w:hyperlink r:id="rId41" w:history="1">
        <w:r>
          <w:rPr>
            <w:rStyle w:val="verdana_9_bold"/>
          </w:rPr>
          <w:t xml:space="preserve">Mongolia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42" w:history="1">
        <w:r>
          <w:rPr>
            <w:rStyle w:val="verdana_9_bold"/>
          </w:rPr>
          <w:t xml:space="preserve">Myanmar</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10.3.1, 10.3.2</w:t>
            </w:r>
          </w:p>
        </w:tc>
        <w:tc>
          <w:tcPr>
            <w:tcW w:w="3000" w:type="dxa"/>
            <w:noWrap/>
          </w:tcPr>
          <w:p>
            <w:pPr>
              <w:pStyle w:val="no_space_after"/>
            </w:pPr>
            <w:r>
              <w:rPr>
                <w:rStyle w:val="verdana_9"/>
              </w:rPr>
              <w:t xml:space="preserve">Use of international standards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11</w:t>
            </w:r>
          </w:p>
        </w:tc>
        <w:tc>
          <w:tcPr>
            <w:tcW w:w="3000" w:type="dxa"/>
            <w:noWrap/>
          </w:tcPr>
          <w:p>
            <w:pPr>
              <w:pStyle w:val="no_space_after"/>
            </w:pPr>
            <w:r>
              <w:rPr>
                <w:rStyle w:val="verdana_9"/>
              </w:rPr>
              <w:t xml:space="preserve">Transit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43" w:history="1">
        <w:r>
          <w:rPr>
            <w:rStyle w:val="verdana_9_bold"/>
          </w:rPr>
          <w:t xml:space="preserve">Namibia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2026</w:t>
            </w:r>
          </w:p>
        </w:tc>
      </w:tr>
    </w:tbl>
    <w:p>
      <w:pPr/>
      <w:r>
        <w:rPr/>
        <w:t xml:space="preserve"/>
      </w:r>
    </w:p>
    <w:p>
      <w:hyperlink r:id="rId44" w:history="1">
        <w:r>
          <w:rPr>
            <w:rStyle w:val="verdana_9_bold"/>
          </w:rPr>
          <w:t xml:space="preserve">Nepal</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10.7</w:t>
            </w:r>
          </w:p>
        </w:tc>
        <w:tc>
          <w:tcPr>
            <w:tcW w:w="3000" w:type="dxa"/>
            <w:noWrap/>
          </w:tcPr>
          <w:p>
            <w:pPr>
              <w:pStyle w:val="no_space_after"/>
            </w:pPr>
            <w:r>
              <w:rPr>
                <w:rStyle w:val="verdana_9"/>
              </w:rPr>
              <w:t xml:space="preserve">Common border procedures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bl>
    <w:p>
      <w:pPr/>
      <w:r>
        <w:rPr/>
        <w:t xml:space="preserve"/>
      </w:r>
    </w:p>
    <w:p>
      <w:hyperlink r:id="rId45" w:history="1">
        <w:r>
          <w:rPr>
            <w:rStyle w:val="verdana_9_bold"/>
          </w:rPr>
          <w:t xml:space="preserve">Nicaragua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June 2026</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22 June 2027</w:t>
            </w:r>
          </w:p>
        </w:tc>
      </w:tr>
    </w:tbl>
    <w:p>
      <w:pPr/>
      <w:r>
        <w:rPr/>
        <w:t xml:space="preserve"/>
      </w:r>
    </w:p>
    <w:p>
      <w:hyperlink r:id="rId46" w:history="1">
        <w:r>
          <w:rPr>
            <w:rStyle w:val="verdana_9_bold"/>
          </w:rPr>
          <w:t xml:space="preserve">Niger</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10.2</w:t>
            </w:r>
          </w:p>
        </w:tc>
        <w:tc>
          <w:tcPr>
            <w:tcW w:w="3000" w:type="dxa"/>
            <w:noWrap/>
          </w:tcPr>
          <w:p>
            <w:pPr>
              <w:pStyle w:val="no_space_after"/>
            </w:pPr>
            <w:r>
              <w:rPr>
                <w:rStyle w:val="verdana_9"/>
              </w:rPr>
              <w:t xml:space="preserve">Acceptance of copies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2027</w:t>
            </w:r>
          </w:p>
        </w:tc>
      </w:tr>
    </w:tbl>
    <w:p>
      <w:pPr/>
      <w:r>
        <w:rPr/>
        <w:t xml:space="preserve"/>
      </w:r>
    </w:p>
    <w:p>
      <w:hyperlink r:id="rId47" w:history="1">
        <w:r>
          <w:rPr>
            <w:rStyle w:val="verdana_9_bold"/>
          </w:rPr>
          <w:t xml:space="preserve">Pakistan</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48" w:history="1">
        <w:r>
          <w:rPr>
            <w:rStyle w:val="verdana_9_bold"/>
          </w:rPr>
          <w:t xml:space="preserve">Papua New Guinea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49" w:history="1">
        <w:r>
          <w:rPr>
            <w:rStyle w:val="verdana_9_bold"/>
          </w:rPr>
          <w:t xml:space="preserve">Paraguay</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September 2027</w:t>
            </w:r>
          </w:p>
        </w:tc>
      </w:tr>
    </w:tbl>
    <w:p>
      <w:pPr/>
      <w:r>
        <w:rPr/>
        <w:t xml:space="preserve"/>
      </w:r>
    </w:p>
    <w:p>
      <w:hyperlink r:id="rId50" w:history="1">
        <w:r>
          <w:rPr>
            <w:rStyle w:val="verdana_9_bold"/>
          </w:rPr>
          <w:t xml:space="preserve">Peru</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51" w:history="1">
        <w:r>
          <w:rPr>
            <w:rStyle w:val="verdana_9_bold"/>
          </w:rPr>
          <w:t xml:space="preserve">Rwanda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1.3</w:t>
            </w:r>
          </w:p>
        </w:tc>
        <w:tc>
          <w:tcPr>
            <w:tcW w:w="3000" w:type="dxa"/>
            <w:noWrap/>
          </w:tcPr>
          <w:p>
            <w:pPr>
              <w:pStyle w:val="no_space_after"/>
            </w:pPr>
            <w:r>
              <w:rPr>
                <w:rStyle w:val="verdana_9"/>
              </w:rPr>
              <w:t xml:space="preserve">Enquiry points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August 2026</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August 2026</w:t>
            </w:r>
          </w:p>
        </w:tc>
      </w:tr>
    </w:tbl>
    <w:p>
      <w:pPr/>
      <w:r>
        <w:rPr/>
        <w:t xml:space="preserve"/>
      </w:r>
    </w:p>
    <w:p>
      <w:hyperlink r:id="rId52" w:history="1">
        <w:r>
          <w:rPr>
            <w:rStyle w:val="verdana_9_bold"/>
          </w:rPr>
          <w:t xml:space="preserve">Saint Lucia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7.9</w:t>
            </w:r>
          </w:p>
        </w:tc>
        <w:tc>
          <w:tcPr>
            <w:tcW w:w="3000" w:type="dxa"/>
            <w:noWrap/>
          </w:tcPr>
          <w:p>
            <w:pPr>
              <w:pStyle w:val="no_space_after"/>
            </w:pPr>
            <w:r>
              <w:rPr>
                <w:rStyle w:val="verdana_9"/>
              </w:rPr>
              <w:t xml:space="preserve">Perishable goods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10.8</w:t>
            </w:r>
          </w:p>
        </w:tc>
        <w:tc>
          <w:tcPr>
            <w:tcW w:w="3000" w:type="dxa"/>
            <w:noWrap/>
          </w:tcPr>
          <w:p>
            <w:pPr>
              <w:pStyle w:val="no_space_after"/>
            </w:pPr>
            <w:r>
              <w:rPr>
                <w:rStyle w:val="verdana_9"/>
              </w:rPr>
              <w:t xml:space="preserve">Rejected Goods</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bl>
    <w:p>
      <w:pPr/>
      <w:r>
        <w:rPr/>
        <w:t xml:space="preserve"/>
      </w:r>
    </w:p>
    <w:p>
      <w:hyperlink r:id="rId53" w:history="1">
        <w:r>
          <w:rPr>
            <w:rStyle w:val="verdana_9_bold"/>
          </w:rPr>
          <w:t xml:space="preserve">Saint Vincent and the Grenadines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2.2</w:t>
            </w:r>
          </w:p>
        </w:tc>
        <w:tc>
          <w:tcPr>
            <w:tcW w:w="3000" w:type="dxa"/>
            <w:noWrap/>
          </w:tcPr>
          <w:p>
            <w:pPr>
              <w:pStyle w:val="no_space_after"/>
            </w:pPr>
            <w:r>
              <w:rPr>
                <w:rStyle w:val="verdana_9"/>
              </w:rPr>
              <w:t xml:space="preserve">Consultations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54" w:history="1">
        <w:r>
          <w:rPr>
            <w:rStyle w:val="verdana_9_bold"/>
          </w:rPr>
          <w:t xml:space="preserve">Samoa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10.1.1</w:t>
            </w:r>
          </w:p>
        </w:tc>
        <w:tc>
          <w:tcPr>
            <w:tcW w:w="3000" w:type="dxa"/>
            <w:noWrap/>
          </w:tcPr>
          <w:p>
            <w:pPr>
              <w:pStyle w:val="no_space_after"/>
            </w:pPr>
            <w:r>
              <w:rPr>
                <w:rStyle w:val="verdana_9"/>
              </w:rPr>
              <w:t xml:space="preserve">Formalities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55" w:history="1">
        <w:r>
          <w:rPr>
            <w:rStyle w:val="verdana_9_bold"/>
          </w:rPr>
          <w:t xml:space="preserve">Senegal</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hyperlink r:id="rId56" w:history="1">
        <w:r>
          <w:rPr>
            <w:rStyle w:val="verdana_9_bold"/>
          </w:rPr>
          <w:t xml:space="preserve">Seychelles</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30 June 2027</w:t>
            </w:r>
          </w:p>
        </w:tc>
      </w:tr>
    </w:tbl>
    <w:p>
      <w:pPr/>
      <w:r>
        <w:rPr/>
        <w:t xml:space="preserve"/>
      </w:r>
    </w:p>
    <w:p>
      <w:hyperlink r:id="rId57" w:history="1">
        <w:r>
          <w:rPr>
            <w:rStyle w:val="verdana_9_bold"/>
          </w:rPr>
          <w:t xml:space="preserve">Sierra Leone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58" w:history="1">
        <w:r>
          <w:rPr>
            <w:rStyle w:val="verdana_9_bold"/>
          </w:rPr>
          <w:t xml:space="preserve">Timor-Leste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6.3</w:t>
            </w:r>
          </w:p>
        </w:tc>
        <w:tc>
          <w:tcPr>
            <w:tcW w:w="3000" w:type="dxa"/>
            <w:noWrap/>
          </w:tcPr>
          <w:p>
            <w:pPr>
              <w:pStyle w:val="no_space_after"/>
            </w:pPr>
            <w:r>
              <w:rPr>
                <w:rStyle w:val="verdana_9"/>
              </w:rPr>
              <w:t xml:space="preserve">Penalty Disciplines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31 December 2026</w:t>
            </w:r>
          </w:p>
        </w:tc>
      </w:tr>
    </w:tbl>
    <w:p>
      <w:pPr/>
      <w:r>
        <w:rPr/>
        <w:t xml:space="preserve"/>
      </w:r>
    </w:p>
    <w:p>
      <w:hyperlink r:id="rId59" w:history="1">
        <w:r>
          <w:rPr>
            <w:rStyle w:val="verdana_9_bold"/>
          </w:rPr>
          <w:t xml:space="preserve">Togo</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r>
        <w:trPr>
          <w:cantSplit w:val="1"/>
        </w:trPr>
        <w:tc>
          <w:tcPr>
            <w:tcW w:w="1500" w:type="dxa"/>
            <w:noWrap/>
          </w:tcPr>
          <w:p>
            <w:pPr>
              <w:pStyle w:val="no_space_after"/>
            </w:pPr>
            <w:r>
              <w:rPr>
                <w:rStyle w:val="verdana_9"/>
              </w:rPr>
              <w:t xml:space="preserve">10.4</w:t>
            </w:r>
          </w:p>
        </w:tc>
        <w:tc>
          <w:tcPr>
            <w:tcW w:w="3000" w:type="dxa"/>
            <w:noWrap/>
          </w:tcPr>
          <w:p>
            <w:pPr>
              <w:pStyle w:val="no_space_after"/>
            </w:pPr>
            <w:r>
              <w:rPr>
                <w:rStyle w:val="verdana_9"/>
              </w:rPr>
              <w:t xml:space="preserve">Single window</w:t>
            </w:r>
          </w:p>
        </w:tc>
        <w:tc>
          <w:tcPr>
            <w:tcW w:w="1250" w:type="dxa"/>
            <w:noWrap/>
          </w:tcPr>
          <w:p>
            <w:pPr>
              <w:pStyle w:val="no_space_after"/>
            </w:pPr>
            <w:r>
              <w:rPr>
                <w:rStyle w:val="verdana_9"/>
              </w:rPr>
              <w:t xml:space="preserve">B</w:t>
            </w:r>
          </w:p>
        </w:tc>
        <w:tc>
          <w:tcPr>
            <w:tcW w:w="3500" w:type="dxa"/>
            <w:noWrap/>
          </w:tcPr>
          <w:p>
            <w:pPr>
              <w:pStyle w:val="no_space_after"/>
            </w:pPr>
            <w:r>
              <w:rPr>
                <w:rStyle w:val="verdana_9"/>
              </w:rPr>
              <w:t xml:space="preserve">30 June 2027</w:t>
            </w:r>
          </w:p>
        </w:tc>
      </w:tr>
    </w:tbl>
    <w:p>
      <w:pPr/>
      <w:r>
        <w:rPr/>
        <w:t xml:space="preserve"/>
      </w:r>
    </w:p>
    <w:p>
      <w:hyperlink r:id="rId60" w:history="1">
        <w:r>
          <w:rPr>
            <w:rStyle w:val="verdana_9_bold"/>
          </w:rPr>
          <w:t xml:space="preserve">Trinidad and Tobago</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1.1.1</w:t>
            </w:r>
          </w:p>
        </w:tc>
        <w:tc>
          <w:tcPr>
            <w:tcW w:w="3000" w:type="dxa"/>
            <w:noWrap/>
          </w:tcPr>
          <w:p>
            <w:pPr>
              <w:pStyle w:val="no_space_after"/>
            </w:pPr>
            <w:r>
              <w:rPr>
                <w:rStyle w:val="verdana_9"/>
              </w:rPr>
              <w:t xml:space="preserve">Publication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w:t>
            </w:r>
          </w:p>
        </w:tc>
        <w:tc>
          <w:tcPr>
            <w:tcW w:w="3000" w:type="dxa"/>
            <w:noWrap/>
          </w:tcPr>
          <w:p>
            <w:pPr>
              <w:pStyle w:val="no_space_after"/>
            </w:pPr>
            <w:r>
              <w:rPr>
                <w:rStyle w:val="verdana_9"/>
              </w:rPr>
              <w:t xml:space="preserve">Information available through internet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2.1</w:t>
            </w:r>
          </w:p>
        </w:tc>
        <w:tc>
          <w:tcPr>
            <w:tcW w:w="3000" w:type="dxa"/>
            <w:noWrap/>
          </w:tcPr>
          <w:p>
            <w:pPr>
              <w:pStyle w:val="no_space_after"/>
            </w:pPr>
            <w:r>
              <w:rPr>
                <w:rStyle w:val="verdana_9"/>
              </w:rPr>
              <w:t xml:space="preserve">Comments and information before entry into force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3</w:t>
            </w:r>
          </w:p>
        </w:tc>
        <w:tc>
          <w:tcPr>
            <w:tcW w:w="3000" w:type="dxa"/>
            <w:noWrap/>
          </w:tcPr>
          <w:p>
            <w:pPr>
              <w:pStyle w:val="no_space_after"/>
            </w:pPr>
            <w:r>
              <w:rPr>
                <w:rStyle w:val="verdana_9"/>
              </w:rPr>
              <w:t xml:space="preserve">Advance rulings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4</w:t>
            </w:r>
          </w:p>
        </w:tc>
        <w:tc>
          <w:tcPr>
            <w:tcW w:w="3000" w:type="dxa"/>
            <w:noWrap/>
          </w:tcPr>
          <w:p>
            <w:pPr>
              <w:pStyle w:val="no_space_after"/>
            </w:pPr>
            <w:r>
              <w:rPr>
                <w:rStyle w:val="verdana_9"/>
              </w:rPr>
              <w:t xml:space="preserve">Procedures for appeal or review</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5.1</w:t>
            </w:r>
          </w:p>
        </w:tc>
        <w:tc>
          <w:tcPr>
            <w:tcW w:w="3000" w:type="dxa"/>
            <w:noWrap/>
          </w:tcPr>
          <w:p>
            <w:pPr>
              <w:pStyle w:val="no_space_after"/>
            </w:pPr>
            <w:r>
              <w:rPr>
                <w:rStyle w:val="verdana_9"/>
              </w:rPr>
              <w:t xml:space="preserve">Notifications for enhanced controls or inspections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6.1</w:t>
            </w:r>
          </w:p>
        </w:tc>
        <w:tc>
          <w:tcPr>
            <w:tcW w:w="3000" w:type="dxa"/>
            <w:noWrap/>
          </w:tcPr>
          <w:p>
            <w:pPr>
              <w:pStyle w:val="no_space_after"/>
            </w:pPr>
            <w:r>
              <w:rPr>
                <w:rStyle w:val="verdana_9"/>
              </w:rPr>
              <w:t xml:space="preserve">General disciplines on fees and charges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7.2</w:t>
            </w:r>
          </w:p>
        </w:tc>
        <w:tc>
          <w:tcPr>
            <w:tcW w:w="3000" w:type="dxa"/>
            <w:noWrap/>
          </w:tcPr>
          <w:p>
            <w:pPr>
              <w:pStyle w:val="no_space_after"/>
            </w:pPr>
            <w:r>
              <w:rPr>
                <w:rStyle w:val="verdana_9"/>
              </w:rPr>
              <w:t xml:space="preserve">Electronic payment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7.3</w:t>
            </w:r>
          </w:p>
        </w:tc>
        <w:tc>
          <w:tcPr>
            <w:tcW w:w="3000" w:type="dxa"/>
            <w:noWrap/>
          </w:tcPr>
          <w:p>
            <w:pPr>
              <w:pStyle w:val="no_space_after"/>
            </w:pPr>
            <w:r>
              <w:rPr>
                <w:rStyle w:val="verdana_9"/>
              </w:rPr>
              <w:t xml:space="preserve">Separation of release</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7.7</w:t>
            </w:r>
          </w:p>
        </w:tc>
        <w:tc>
          <w:tcPr>
            <w:tcW w:w="3000" w:type="dxa"/>
            <w:noWrap/>
          </w:tcPr>
          <w:p>
            <w:pPr>
              <w:pStyle w:val="no_space_after"/>
            </w:pPr>
            <w:r>
              <w:rPr>
                <w:rStyle w:val="verdana_9"/>
              </w:rPr>
              <w:t xml:space="preserve">Authorized operators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7.8</w:t>
            </w:r>
          </w:p>
        </w:tc>
        <w:tc>
          <w:tcPr>
            <w:tcW w:w="3000" w:type="dxa"/>
            <w:noWrap/>
          </w:tcPr>
          <w:p>
            <w:pPr>
              <w:pStyle w:val="no_space_after"/>
            </w:pPr>
            <w:r>
              <w:rPr>
                <w:rStyle w:val="verdana_9"/>
              </w:rPr>
              <w:t xml:space="preserve">Expedited shipments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12.8, 12.9, 12.11</w:t>
            </w:r>
          </w:p>
        </w:tc>
        <w:tc>
          <w:tcPr>
            <w:tcW w:w="3000" w:type="dxa"/>
            <w:noWrap/>
          </w:tcPr>
          <w:p>
            <w:pPr>
              <w:pStyle w:val="no_space_after"/>
            </w:pPr>
            <w:r>
              <w:rPr>
                <w:rStyle w:val="verdana_9"/>
              </w:rPr>
              <w:t xml:space="preserve">Customs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bl>
    <w:p>
      <w:pPr/>
      <w:r>
        <w:rPr/>
        <w:t xml:space="preserve"/>
      </w:r>
    </w:p>
    <w:p>
      <w:hyperlink r:id="rId61" w:history="1">
        <w:r>
          <w:rPr>
            <w:rStyle w:val="verdana_9_bold"/>
          </w:rPr>
          <w:t xml:space="preserve">Uganda</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7.1</w:t>
            </w:r>
          </w:p>
        </w:tc>
        <w:tc>
          <w:tcPr>
            <w:tcW w:w="3000" w:type="dxa"/>
            <w:noWrap/>
          </w:tcPr>
          <w:p>
            <w:pPr>
              <w:pStyle w:val="no_space_after"/>
            </w:pPr>
            <w:r>
              <w:rPr>
                <w:rStyle w:val="verdana_9"/>
              </w:rPr>
              <w:t xml:space="preserve">Pre-arrival processing</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2026</w:t>
            </w:r>
          </w:p>
        </w:tc>
      </w:tr>
      <w:tr>
        <w:trPr>
          <w:cantSplit w:val="1"/>
        </w:trPr>
        <w:tc>
          <w:tcPr>
            <w:tcW w:w="1500" w:type="dxa"/>
            <w:noWrap/>
          </w:tcPr>
          <w:p>
            <w:pPr>
              <w:pStyle w:val="no_space_after"/>
            </w:pPr>
            <w:r>
              <w:rPr>
                <w:rStyle w:val="verdana_9"/>
              </w:rPr>
              <w:t xml:space="preserve">7.4</w:t>
            </w:r>
          </w:p>
        </w:tc>
        <w:tc>
          <w:tcPr>
            <w:tcW w:w="3000" w:type="dxa"/>
            <w:noWrap/>
          </w:tcPr>
          <w:p>
            <w:pPr>
              <w:pStyle w:val="no_space_after"/>
            </w:pPr>
            <w:r>
              <w:rPr>
                <w:rStyle w:val="verdana_9"/>
              </w:rPr>
              <w:t xml:space="preserve">Risk management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2026</w:t>
            </w:r>
          </w:p>
        </w:tc>
      </w:tr>
      <w:tr>
        <w:trPr>
          <w:cantSplit w:val="1"/>
        </w:trPr>
        <w:tc>
          <w:tcPr>
            <w:tcW w:w="1500" w:type="dxa"/>
            <w:noWrap/>
          </w:tcPr>
          <w:p>
            <w:pPr>
              <w:pStyle w:val="no_space_after"/>
            </w:pPr>
            <w:r>
              <w:rPr>
                <w:rStyle w:val="verdana_9"/>
              </w:rPr>
              <w:t xml:space="preserve">7.9</w:t>
            </w:r>
          </w:p>
        </w:tc>
        <w:tc>
          <w:tcPr>
            <w:tcW w:w="3000" w:type="dxa"/>
            <w:noWrap/>
          </w:tcPr>
          <w:p>
            <w:pPr>
              <w:pStyle w:val="no_space_after"/>
            </w:pPr>
            <w:r>
              <w:rPr>
                <w:rStyle w:val="verdana_9"/>
              </w:rPr>
              <w:t xml:space="preserve">Perishable goods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2026</w:t>
            </w:r>
          </w:p>
        </w:tc>
      </w:tr>
      <w:tr>
        <w:trPr>
          <w:cantSplit w:val="1"/>
        </w:trPr>
        <w:tc>
          <w:tcPr>
            <w:tcW w:w="1500" w:type="dxa"/>
            <w:noWrap/>
          </w:tcPr>
          <w:p>
            <w:pPr>
              <w:pStyle w:val="no_space_after"/>
            </w:pPr>
            <w:r>
              <w:rPr>
                <w:rStyle w:val="verdana_9"/>
              </w:rPr>
              <w:t xml:space="preserve">8</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1 July 2026</w:t>
            </w:r>
          </w:p>
        </w:tc>
      </w:tr>
    </w:tbl>
    <w:p>
      <w:pPr/>
      <w:r>
        <w:rPr/>
        <w:t xml:space="preserve"/>
      </w:r>
    </w:p>
    <w:p>
      <w:hyperlink r:id="rId62" w:history="1">
        <w:r>
          <w:rPr>
            <w:rStyle w:val="verdana_9_bold"/>
          </w:rPr>
          <w:t xml:space="preserve">Zimbabwe</w:t>
        </w:r>
      </w:hyperlink>
    </w:p>
    <w:tbl>
      <w:tblGrid>
        <w:gridCol w:w="1500" w:type="dxa"/>
        <w:gridCol w:w="3000" w:type="dxa"/>
        <w:gridCol w:w="1250" w:type="dxa"/>
        <w:gridCol w:w="3500" w:type="dxa"/>
      </w:tblGrid>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1500" w:type="dxa"/>
            <w:noWrap/>
          </w:tcPr>
          <w:p>
            <w:pPr>
              <w:pStyle w:val="no_space_after"/>
            </w:pPr>
            <w:r>
              <w:rPr>
                <w:rStyle w:val="verdana_9_bold"/>
              </w:rPr>
              <w:t xml:space="preserve">Article</w:t>
            </w:r>
          </w:p>
        </w:tc>
        <w:tc>
          <w:tcPr>
            <w:tcW w:w="3000" w:type="dxa"/>
            <w:noWrap/>
          </w:tcPr>
          <w:p>
            <w:pPr>
              <w:pStyle w:val="no_space_after"/>
            </w:pPr>
            <w:r>
              <w:rPr>
                <w:rStyle w:val="verdana_9_bold"/>
              </w:rPr>
              <w:t xml:space="preserve">Measure name</w:t>
            </w:r>
          </w:p>
        </w:tc>
        <w:tc>
          <w:tcPr>
            <w:tcW w:w="1250" w:type="dxa"/>
            <w:noWrap/>
          </w:tcPr>
          <w:p>
            <w:pPr>
              <w:pStyle w:val="no_space_after"/>
            </w:pPr>
            <w:r>
              <w:rPr>
                <w:rStyle w:val="verdana_9_bold"/>
              </w:rPr>
              <w:t xml:space="preserve">Category</w:t>
            </w:r>
          </w:p>
        </w:tc>
        <w:tc>
          <w:tcPr>
            <w:tcW w:w="3500" w:type="dxa"/>
            <w:noWrap/>
          </w:tcPr>
          <w:p>
            <w:pPr>
              <w:pStyle w:val="no_space_after"/>
            </w:pPr>
            <w:r>
              <w:rPr>
                <w:rStyle w:val="verdana_9_bold"/>
              </w:rPr>
              <w:t xml:space="preserve">Definitive implementation date</w:t>
            </w:r>
          </w:p>
        </w:tc>
      </w:tr>
      <w:tr>
        <w:trPr>
          <w:cantSplit w:val="1"/>
        </w:trPr>
        <w:tc>
          <w:tcPr>
            <w:tcW w:w="1500" w:type="dxa"/>
            <w:noWrap/>
          </w:tcPr>
          <w:p>
            <w:pPr>
              <w:pStyle w:val="no_space_after"/>
            </w:pPr>
            <w:r>
              <w:rPr>
                <w:rStyle w:val="verdana_9"/>
              </w:rPr>
              <w:t xml:space="preserve">5.3</w:t>
            </w:r>
          </w:p>
        </w:tc>
        <w:tc>
          <w:tcPr>
            <w:tcW w:w="3000" w:type="dxa"/>
            <w:noWrap/>
          </w:tcPr>
          <w:p>
            <w:pPr>
              <w:pStyle w:val="no_space_after"/>
            </w:pPr>
            <w:r>
              <w:rPr>
                <w:rStyle w:val="verdana_9"/>
              </w:rPr>
              <w:t xml:space="preserve">Test procedures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r>
        <w:trPr>
          <w:cantSplit w:val="1"/>
        </w:trPr>
        <w:tc>
          <w:tcPr>
            <w:tcW w:w="1500" w:type="dxa"/>
            <w:noWrap/>
          </w:tcPr>
          <w:p>
            <w:pPr>
              <w:pStyle w:val="no_space_after"/>
            </w:pPr>
            <w:r>
              <w:rPr>
                <w:rStyle w:val="verdana_9"/>
              </w:rPr>
              <w:t xml:space="preserve">7.5</w:t>
            </w:r>
          </w:p>
        </w:tc>
        <w:tc>
          <w:tcPr>
            <w:tcW w:w="3000" w:type="dxa"/>
            <w:noWrap/>
          </w:tcPr>
          <w:p>
            <w:pPr>
              <w:pStyle w:val="no_space_after"/>
            </w:pPr>
            <w:r>
              <w:rPr>
                <w:rStyle w:val="verdana_9"/>
              </w:rPr>
              <w:t xml:space="preserve">Post-clearance audit</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7.6</w:t>
            </w:r>
          </w:p>
        </w:tc>
        <w:tc>
          <w:tcPr>
            <w:tcW w:w="3000" w:type="dxa"/>
            <w:noWrap/>
          </w:tcPr>
          <w:p>
            <w:pPr>
              <w:pStyle w:val="no_space_after"/>
            </w:pPr>
            <w:r>
              <w:rPr>
                <w:rStyle w:val="verdana_9"/>
              </w:rPr>
              <w:t xml:space="preserve">Average release times</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2027</w:t>
            </w:r>
          </w:p>
        </w:tc>
      </w:tr>
      <w:tr>
        <w:trPr>
          <w:cantSplit w:val="1"/>
        </w:trPr>
        <w:tc>
          <w:tcPr>
            <w:tcW w:w="1500" w:type="dxa"/>
            <w:noWrap/>
          </w:tcPr>
          <w:p>
            <w:pPr>
              <w:pStyle w:val="no_space_after"/>
            </w:pPr>
            <w:r>
              <w:rPr>
                <w:rStyle w:val="verdana_9"/>
              </w:rPr>
              <w:t xml:space="preserve">8.2</w:t>
            </w:r>
          </w:p>
        </w:tc>
        <w:tc>
          <w:tcPr>
            <w:tcW w:w="3000" w:type="dxa"/>
            <w:noWrap/>
          </w:tcPr>
          <w:p>
            <w:pPr>
              <w:pStyle w:val="no_space_after"/>
            </w:pPr>
            <w:r>
              <w:rPr>
                <w:rStyle w:val="verdana_9"/>
              </w:rPr>
              <w:t xml:space="preserve">Border Agency Cooperation</w:t>
            </w:r>
          </w:p>
        </w:tc>
        <w:tc>
          <w:tcPr>
            <w:tcW w:w="1250" w:type="dxa"/>
            <w:noWrap/>
          </w:tcPr>
          <w:p>
            <w:pPr>
              <w:pStyle w:val="no_space_after"/>
            </w:pPr>
            <w:r>
              <w:rPr>
                <w:rStyle w:val="verdana_9"/>
              </w:rPr>
              <w:t xml:space="preserve">C</w:t>
            </w:r>
          </w:p>
        </w:tc>
        <w:tc>
          <w:tcPr>
            <w:tcW w:w="3500" w:type="dxa"/>
            <w:noWrap/>
          </w:tcPr>
          <w:p>
            <w:pPr>
              <w:pStyle w:val="no_space_after"/>
            </w:pPr>
            <w:r>
              <w:rPr>
                <w:rStyle w:val="verdana_9"/>
              </w:rPr>
              <w:t xml:space="preserve">31 December 2026</w:t>
            </w:r>
          </w:p>
        </w:tc>
      </w:tr>
    </w:tbl>
    <w:p>
      <w:pPr/>
      <w:r>
        <w:rPr/>
        <w:t xml:space="preserve"/>
      </w:r>
    </w:p>
    <w:p>
      <w:pPr/>
      <w:r>
        <w:rPr/>
        <w:t xml:space="preserve"/>
      </w:r>
    </w:p>
    <w:p>
      <w:pPr/>
      <w:r>
        <w:rPr>
          <w:rStyle w:val="verdana_9"/>
        </w:rPr>
        <w:t xml:space="preserve">Updated on 28 October 2026</w:t>
      </w:r>
    </w:p>
    <w:p>
      <w:pPr/>
      <w:r>
        <w:pict>
          <v:shape type="#_x0000_t75" stroked="f" style="width:300pt; height:55.661664392906pt; margin-left:0pt; margin-top:0pt; mso-position-horizontal:left; mso-position-vertical:top; mso-position-horizontal-relative:char; mso-position-vertical-relative:line;">
            <w10:wrap type="inline"/>
            <v:imagedata r:id="rId63" o:title=""/>
          </v:shape>
        </w:pict>
      </w:r>
    </w:p>
    <w:p>
      <w:pPr/>
      <w:r>
        <w:rPr/>
        <w:t xml:space="preserve"/>
      </w:r>
    </w:p>
    <w:p>
      <w:pPr/>
      <w:r>
        <w:rPr>
          <w:rStyle w:val="verdana_9"/>
        </w:rPr>
        <w:t xml:space="preserve">Note: whilst every effort is made to ensure the completeness and accuracy of the data released, please note that the processing required to prepare this information is complex due to the interdependence and interlinkages amongst notifications. If you detect any inaccuracies, please inform us by completing this form:</w:t>
      </w:r>
    </w:p>
    <w:p>
      <w:hyperlink r:id="rId64" w:history="1">
        <w:r>
          <w:rPr>
            <w:rStyle w:val="verdana_9_blue"/>
          </w:rPr>
          <w:t xml:space="preserve">https://tfadatabase.org/en/contact</w:t>
        </w:r>
      </w:hyperlink>
    </w:p>
    <w:p>
      <w:pPr/>
      <w:r>
        <w:rPr>
          <w:rStyle w:val="verdana_9"/>
        </w:rPr>
        <w:t xml:space="preserve">Any errors will be corrected at the earliest moment possible.</w:t>
      </w:r>
    </w:p>
    <w:p>
      <w:pPr/>
      <w:r>
        <w:rPr>
          <w:rStyle w:val="verdana_9"/>
        </w:rPr>
        <w:t xml:space="preserve">As we frequently update our content to reflect new notifications received, please make sure that you have the latest results by returning to this page.</w:t>
      </w:r>
    </w:p>
    <w:p>
      <w:hyperlink r:id="rId65" w:history="1">
        <w:r>
          <w:rPr>
            <w:rStyle w:val="verdana_9_blue"/>
          </w:rPr>
          <w:t xml:space="preserve">https://tfadatabase.org/en/implementation/commitments-due-by-date</w:t>
        </w:r>
      </w:hyperlink>
    </w:p>
    <w:sectPr>
      <w:footerReference w:type="default" r:id="rId66"/>
      <w:pgSz w:orient="portrait" w:w="11905.511811023622" w:h="16837.79527559055"/>
      <w:pgMar w:top="1140" w:right="1440" w:bottom="11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verdana_9"/>
    <w:rPr>
      <w:rFonts w:ascii="Verdana" w:hAnsi="Verdana" w:eastAsia="Verdana" w:cs="Verdana"/>
      <w:sz w:val="18"/>
      <w:szCs w:val="18"/>
      <w:b w:val="0"/>
      <w:bCs w:val="0"/>
    </w:rPr>
  </w:style>
  <w:style w:type="character">
    <w:name w:val="verdana_9_bold"/>
    <w:rPr>
      <w:rFonts w:ascii="Verdana" w:hAnsi="Verdana" w:eastAsia="Verdana" w:cs="Verdana"/>
      <w:sz w:val="18"/>
      <w:szCs w:val="18"/>
      <w:b w:val="1"/>
      <w:bCs w:val="1"/>
    </w:rPr>
  </w:style>
  <w:style w:type="character">
    <w:name w:val="verdana_9_blue"/>
    <w:rPr>
      <w:rFonts w:ascii="Verdana" w:hAnsi="Verdana" w:eastAsia="Verdana" w:cs="Verdana"/>
      <w:color w:val="0000FF"/>
      <w:sz w:val="18"/>
      <w:szCs w:val="18"/>
      <w:b w:val="0"/>
      <w:bCs w:val="0"/>
    </w:rPr>
  </w:style>
  <w:style w:type="character">
    <w:name w:val="verdana_10"/>
    <w:rPr>
      <w:rFonts w:ascii="Verdana" w:hAnsi="Verdana" w:eastAsia="Verdana" w:cs="Verdana"/>
      <w:sz w:val="20"/>
      <w:szCs w:val="20"/>
      <w:b w:val="0"/>
      <w:bCs w:val="0"/>
    </w:rPr>
  </w:style>
  <w:style w:type="character">
    <w:name w:val="verdana_11_bold"/>
    <w:rPr>
      <w:rFonts w:ascii="Verdana" w:hAnsi="Verdana" w:eastAsia="Verdana" w:cs="Verdana"/>
      <w:sz w:val="22"/>
      <w:szCs w:val="22"/>
      <w:b w:val="1"/>
      <w:bCs w:val="1"/>
    </w:rPr>
  </w:style>
  <w:style w:type="paragraph" w:customStyle="1" w:styleId="no_space_after">
    <w:name w:val="no_space_after"/>
    <w:basedOn w:val="Normal"/>
    <w:pPr>
      <w:spacing w:after="0"/>
    </w:pPr>
  </w:style>
  <w:style w:type="table" w:customStyle="1" w:styleId="HeaderTable">
    <w:name w:val="HeaderTable"/>
    <w:uiPriority w:val="99"/>
    <w:tblPr>
      <w:tblW w:w="0" w:type="auto"/>
      <w:tblLayout w:type="fixed"/>
      <w:tblCellMar>
        <w:top w:w="25" w:type="dxa"/>
        <w:left w:w="100" w:type="dxa"/>
        <w:right w:w="100" w:type="dxa"/>
        <w:bottom w:w="25" w:type="dxa"/>
      </w:tblCellMar>
      <w:tblBorders>
        <w:top w:val="single" w:sz="6" w:color="999999"/>
        <w:left w:val="single" w:sz="6" w:color="999999"/>
        <w:right w:val="single" w:sz="6" w:color="999999"/>
        <w:bottom w:val="single" w:sz="6" w:color="999999"/>
        <w:insideH w:val="single" w:sz="6" w:color="999999"/>
        <w:insideV w:val="single" w:sz="6" w:color="999999"/>
      </w:tblBorders>
    </w:tblPr>
    <w:tblStylePr w:type="firstRow">
      <w:tcPr>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fadatabase.org/en/members/afghanistan/implementation-schedule" TargetMode="External"/><Relationship Id="rId8" Type="http://schemas.openxmlformats.org/officeDocument/2006/relationships/hyperlink" Target="https://tfadatabase.org/en/members/angola/implementation-schedule" TargetMode="External"/><Relationship Id="rId9" Type="http://schemas.openxmlformats.org/officeDocument/2006/relationships/hyperlink" Target="https://tfadatabase.org/en/members/argentina/implementation-schedule" TargetMode="External"/><Relationship Id="rId10" Type="http://schemas.openxmlformats.org/officeDocument/2006/relationships/hyperlink" Target="https://tfadatabase.org/en/members/bangladesh/implementation-schedule" TargetMode="External"/><Relationship Id="rId11" Type="http://schemas.openxmlformats.org/officeDocument/2006/relationships/hyperlink" Target="https://tfadatabase.org/en/members/barbados/implementation-schedule" TargetMode="External"/><Relationship Id="rId12" Type="http://schemas.openxmlformats.org/officeDocument/2006/relationships/hyperlink" Target="https://tfadatabase.org/en/members/botswana/implementation-schedule" TargetMode="External"/><Relationship Id="rId13" Type="http://schemas.openxmlformats.org/officeDocument/2006/relationships/hyperlink" Target="https://tfadatabase.org/en/members/burkina-faso/implementation-schedule" TargetMode="External"/><Relationship Id="rId14" Type="http://schemas.openxmlformats.org/officeDocument/2006/relationships/hyperlink" Target="https://tfadatabase.org/en/members/burundi/implementation-schedule" TargetMode="External"/><Relationship Id="rId15" Type="http://schemas.openxmlformats.org/officeDocument/2006/relationships/hyperlink" Target="https://tfadatabase.org/en/members/cabo-verde/implementation-schedule" TargetMode="External"/><Relationship Id="rId16" Type="http://schemas.openxmlformats.org/officeDocument/2006/relationships/hyperlink" Target="https://tfadatabase.org/en/members/central-african-republic/implementation-schedule" TargetMode="External"/><Relationship Id="rId17" Type="http://schemas.openxmlformats.org/officeDocument/2006/relationships/hyperlink" Target="https://tfadatabase.org/en/members/chad/implementation-schedule" TargetMode="External"/><Relationship Id="rId18" Type="http://schemas.openxmlformats.org/officeDocument/2006/relationships/hyperlink" Target="https://tfadatabase.org/en/members/comoros/implementation-schedule" TargetMode="External"/><Relationship Id="rId19" Type="http://schemas.openxmlformats.org/officeDocument/2006/relationships/hyperlink" Target="https://tfadatabase.org/en/members/congo/implementation-schedule" TargetMode="External"/><Relationship Id="rId20" Type="http://schemas.openxmlformats.org/officeDocument/2006/relationships/hyperlink" Target="https://tfadatabase.org/en/members/cote-divoire/implementation-schedule" TargetMode="External"/><Relationship Id="rId21" Type="http://schemas.openxmlformats.org/officeDocument/2006/relationships/hyperlink" Target="https://tfadatabase.org/en/members/cuba/implementation-schedule" TargetMode="External"/><Relationship Id="rId22" Type="http://schemas.openxmlformats.org/officeDocument/2006/relationships/hyperlink" Target="https://tfadatabase.org/en/members/djibouti/implementation-schedule" TargetMode="External"/><Relationship Id="rId23" Type="http://schemas.openxmlformats.org/officeDocument/2006/relationships/hyperlink" Target="https://tfadatabase.org/en/members/ecuador/implementation-schedule" TargetMode="External"/><Relationship Id="rId24" Type="http://schemas.openxmlformats.org/officeDocument/2006/relationships/hyperlink" Target="https://tfadatabase.org/en/members/egypt/implementation-schedule" TargetMode="External"/><Relationship Id="rId25" Type="http://schemas.openxmlformats.org/officeDocument/2006/relationships/hyperlink" Target="https://tfadatabase.org/en/members/el-salvador/implementation-schedule" TargetMode="External"/><Relationship Id="rId26" Type="http://schemas.openxmlformats.org/officeDocument/2006/relationships/hyperlink" Target="https://tfadatabase.org/en/members/eswatini/implementation-schedule" TargetMode="External"/><Relationship Id="rId27" Type="http://schemas.openxmlformats.org/officeDocument/2006/relationships/hyperlink" Target="https://tfadatabase.org/en/members/gabon/implementation-schedule" TargetMode="External"/><Relationship Id="rId28" Type="http://schemas.openxmlformats.org/officeDocument/2006/relationships/hyperlink" Target="https://tfadatabase.org/en/members/gambia-the/implementation-schedule" TargetMode="External"/><Relationship Id="rId29" Type="http://schemas.openxmlformats.org/officeDocument/2006/relationships/hyperlink" Target="https://tfadatabase.org/en/members/grenada/implementation-schedule" TargetMode="External"/><Relationship Id="rId30" Type="http://schemas.openxmlformats.org/officeDocument/2006/relationships/hyperlink" Target="https://tfadatabase.org/en/members/guatemala/implementation-schedule" TargetMode="External"/><Relationship Id="rId31" Type="http://schemas.openxmlformats.org/officeDocument/2006/relationships/hyperlink" Target="https://tfadatabase.org/en/members/guinea/implementation-schedule" TargetMode="External"/><Relationship Id="rId32" Type="http://schemas.openxmlformats.org/officeDocument/2006/relationships/hyperlink" Target="https://tfadatabase.org/en/members/guyana/implementation-schedule" TargetMode="External"/><Relationship Id="rId33" Type="http://schemas.openxmlformats.org/officeDocument/2006/relationships/hyperlink" Target="https://tfadatabase.org/en/members/honduras/implementation-schedule" TargetMode="External"/><Relationship Id="rId34" Type="http://schemas.openxmlformats.org/officeDocument/2006/relationships/hyperlink" Target="https://tfadatabase.org/en/members/kenya/implementation-schedule" TargetMode="External"/><Relationship Id="rId35" Type="http://schemas.openxmlformats.org/officeDocument/2006/relationships/hyperlink" Target="https://tfadatabase.org/en/members/lesotho/implementation-schedule" TargetMode="External"/><Relationship Id="rId36" Type="http://schemas.openxmlformats.org/officeDocument/2006/relationships/hyperlink" Target="https://tfadatabase.org/en/members/madagascar/implementation-schedule" TargetMode="External"/><Relationship Id="rId37" Type="http://schemas.openxmlformats.org/officeDocument/2006/relationships/hyperlink" Target="https://tfadatabase.org/en/members/malawi/implementation-schedule" TargetMode="External"/><Relationship Id="rId38" Type="http://schemas.openxmlformats.org/officeDocument/2006/relationships/hyperlink" Target="https://tfadatabase.org/en/members/maldives/implementation-schedule" TargetMode="External"/><Relationship Id="rId39" Type="http://schemas.openxmlformats.org/officeDocument/2006/relationships/hyperlink" Target="https://tfadatabase.org/en/members/mali/implementation-schedule" TargetMode="External"/><Relationship Id="rId40" Type="http://schemas.openxmlformats.org/officeDocument/2006/relationships/hyperlink" Target="https://tfadatabase.org/en/members/mauritius/implementation-schedule" TargetMode="External"/><Relationship Id="rId41" Type="http://schemas.openxmlformats.org/officeDocument/2006/relationships/hyperlink" Target="https://tfadatabase.org/en/members/mongolia/implementation-schedule" TargetMode="External"/><Relationship Id="rId42" Type="http://schemas.openxmlformats.org/officeDocument/2006/relationships/hyperlink" Target="https://tfadatabase.org/en/members/myanmar/implementation-schedule" TargetMode="External"/><Relationship Id="rId43" Type="http://schemas.openxmlformats.org/officeDocument/2006/relationships/hyperlink" Target="https://tfadatabase.org/en/members/namibia/implementation-schedule" TargetMode="External"/><Relationship Id="rId44" Type="http://schemas.openxmlformats.org/officeDocument/2006/relationships/hyperlink" Target="https://tfadatabase.org/en/members/nepal/implementation-schedule" TargetMode="External"/><Relationship Id="rId45" Type="http://schemas.openxmlformats.org/officeDocument/2006/relationships/hyperlink" Target="https://tfadatabase.org/en/members/nicaragua/implementation-schedule" TargetMode="External"/><Relationship Id="rId46" Type="http://schemas.openxmlformats.org/officeDocument/2006/relationships/hyperlink" Target="https://tfadatabase.org/en/members/niger/implementation-schedule" TargetMode="External"/><Relationship Id="rId47" Type="http://schemas.openxmlformats.org/officeDocument/2006/relationships/hyperlink" Target="https://tfadatabase.org/en/members/pakistan/implementation-schedule" TargetMode="External"/><Relationship Id="rId48" Type="http://schemas.openxmlformats.org/officeDocument/2006/relationships/hyperlink" Target="https://tfadatabase.org/en/members/papua-new-guinea/implementation-schedule" TargetMode="External"/><Relationship Id="rId49" Type="http://schemas.openxmlformats.org/officeDocument/2006/relationships/hyperlink" Target="https://tfadatabase.org/en/members/paraguay/implementation-schedule" TargetMode="External"/><Relationship Id="rId50" Type="http://schemas.openxmlformats.org/officeDocument/2006/relationships/hyperlink" Target="https://tfadatabase.org/en/members/peru/implementation-schedule" TargetMode="External"/><Relationship Id="rId51" Type="http://schemas.openxmlformats.org/officeDocument/2006/relationships/hyperlink" Target="https://tfadatabase.org/en/members/rwanda/implementation-schedule" TargetMode="External"/><Relationship Id="rId52" Type="http://schemas.openxmlformats.org/officeDocument/2006/relationships/hyperlink" Target="https://tfadatabase.org/en/members/saint-lucia/implementation-schedule" TargetMode="External"/><Relationship Id="rId53" Type="http://schemas.openxmlformats.org/officeDocument/2006/relationships/hyperlink" Target="https://tfadatabase.org/en/members/saint-vincent-and-the-grenadines/implementation-schedule" TargetMode="External"/><Relationship Id="rId54" Type="http://schemas.openxmlformats.org/officeDocument/2006/relationships/hyperlink" Target="https://tfadatabase.org/en/members/samoa/implementation-schedule" TargetMode="External"/><Relationship Id="rId55" Type="http://schemas.openxmlformats.org/officeDocument/2006/relationships/hyperlink" Target="https://tfadatabase.org/en/members/senegal/implementation-schedule" TargetMode="External"/><Relationship Id="rId56" Type="http://schemas.openxmlformats.org/officeDocument/2006/relationships/hyperlink" Target="https://tfadatabase.org/en/members/seychelles/implementation-schedule" TargetMode="External"/><Relationship Id="rId57" Type="http://schemas.openxmlformats.org/officeDocument/2006/relationships/hyperlink" Target="https://tfadatabase.org/en/members/sierra-leone/implementation-schedule" TargetMode="External"/><Relationship Id="rId58" Type="http://schemas.openxmlformats.org/officeDocument/2006/relationships/hyperlink" Target="https://tfadatabase.org/en/members/timor-leste/implementation-schedule" TargetMode="External"/><Relationship Id="rId59" Type="http://schemas.openxmlformats.org/officeDocument/2006/relationships/hyperlink" Target="https://tfadatabase.org/en/members/togo/implementation-schedule" TargetMode="External"/><Relationship Id="rId60" Type="http://schemas.openxmlformats.org/officeDocument/2006/relationships/hyperlink" Target="https://tfadatabase.org/en/members/trinidad-and-tobago/implementation-schedule" TargetMode="External"/><Relationship Id="rId61" Type="http://schemas.openxmlformats.org/officeDocument/2006/relationships/hyperlink" Target="https://tfadatabase.org/en/members/uganda/implementation-schedule" TargetMode="External"/><Relationship Id="rId62" Type="http://schemas.openxmlformats.org/officeDocument/2006/relationships/hyperlink" Target="https://tfadatabase.org/en/members/zimbabwe/implementation-schedule" TargetMode="External"/><Relationship Id="rId63" Type="http://schemas.openxmlformats.org/officeDocument/2006/relationships/image" Target="media/section_image1.png"/><Relationship Id="rId64" Type="http://schemas.openxmlformats.org/officeDocument/2006/relationships/hyperlink" Target="https://tfadatabase.org/en/contact" TargetMode="External"/><Relationship Id="rId65" Type="http://schemas.openxmlformats.org/officeDocument/2006/relationships/hyperlink" Target="https://tfadatabase.org/en/implementation/commitments-due-by-date" TargetMode="External"/><Relationship Id="rId6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2026-11-08T21:36:06+00:00</dcterms:created>
  <dcterms:modified xsi:type="dcterms:W3CDTF">2026-11-08T21:36:06+00:00</dcterms:modified>
</cp:coreProperties>
</file>

<file path=docProps/custom.xml><?xml version="1.0" encoding="utf-8"?>
<Properties xmlns="http://schemas.openxmlformats.org/officeDocument/2006/custom-properties" xmlns:vt="http://schemas.openxmlformats.org/officeDocument/2006/docPropsVTypes"/>
</file>