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MATRICE DES NOTIFICATIONS PRÉSENTÉS AU TITRE DE L'ACCORD SUR LA FACILITATION DES ÉCHANGES (AFE)</w:t>
      </w:r>
    </w:p>
    <w:p>
      <w:pPr/>
      <w:r>
        <w:rPr/>
        <w:t xml:space="preserve"/>
      </w:r>
    </w:p>
    <w:p>
      <w:pPr/>
      <w:r>
        <w:rPr>
          <w:rStyle w:val="verdana_9"/>
        </w:rPr>
        <w:t xml:space="preserve">La matrice est divisée en quatre sections correspondant aux différentes prescriptions en matière de notification établies dans l'AFE.</w:t>
      </w:r>
    </w:p>
    <w:p>
      <w:pPr/>
      <w:r>
        <w:rPr>
          <w:rStyle w:val="verdana_9_bold"/>
        </w:rPr>
        <w:t xml:space="preserve">1. Notifications en matière de mise en œuvre  </w:t>
      </w:r>
      <w:r>
        <w:rPr>
          <w:rStyle w:val="verdana_9"/>
        </w:rPr>
        <w:t xml:space="preserve">(catégories A, B et C)</w:t>
      </w:r>
      <w:r>
        <w:rPr>
          <w:rStyle w:val="verdana_9"/>
        </w:rPr>
        <w:t xml:space="preserve">…………………………………………………………</w:t>
      </w:r>
      <w:r>
        <w:rPr>
          <w:rStyle w:val="verdana_9"/>
        </w:rPr>
        <w:t xml:space="preserve">aller à la page 4</w:t>
      </w:r>
    </w:p>
    <w:p>
      <w:pPr/>
      <w:r>
        <w:rPr>
          <w:rStyle w:val="verdana_9"/>
        </w:rPr>
        <w:t xml:space="preserve">Un tableau récapitulatif montre le statut des notifications pour chaque prescription. Pour plus de commodité, la date à laquelle la notification était attendue est indiquée dans l'intitulé de chaque section. Les chiffres rendent compte du nombre de Membres qui ont notifié TOUTES leurs désignations pour les différentes catégories, CERTAINES désignations, ou AUCUNE. Ces renseignements sont ventilés comme suit:</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Ensemble des pays en développement et des PMA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Désignations en suspens</w:t>
            </w:r>
          </w:p>
        </w:tc>
        <w:tc>
          <w:tcPr>
            <w:tcW w:w="8500" w:type="dxa"/>
          </w:tcPr>
          <w:p>
            <w:pPr>
              <w:pStyle w:val="no_spacing_paragraph"/>
            </w:pPr>
            <w:r>
              <w:rPr>
                <w:rStyle w:val="verdana_9_bold"/>
              </w:rPr>
              <w:t xml:space="preserve">toutes</w:t>
            </w:r>
            <w:r>
              <w:rPr>
                <w:rStyle w:val="verdana_9_bold"/>
              </w:rPr>
              <w:t xml:space="preserve"> = </w:t>
            </w:r>
            <w:r>
              <w:rPr>
                <w:rStyle w:val="verdana_9"/>
              </w:rPr>
              <w:t xml:space="preserve">aucune désignation ne doit être notifiée</w:t>
            </w:r>
          </w:p>
          <w:p>
            <w:pPr>
              <w:pStyle w:val="no_spacing_paragraph"/>
            </w:pPr>
            <w:r>
              <w:rPr>
                <w:rStyle w:val="verdana_9_bold"/>
              </w:rPr>
              <w:t xml:space="preserve">certaines</w:t>
            </w:r>
            <w:r>
              <w:rPr>
                <w:rStyle w:val="verdana_9_bold"/>
              </w:rPr>
              <w:t xml:space="preserve"> = </w:t>
            </w:r>
            <w:r>
              <w:rPr>
                <w:rStyle w:val="verdana_9"/>
              </w:rPr>
              <w:t xml:space="preserve">certaines désignations doivent encore être notifiées</w:t>
            </w:r>
          </w:p>
          <w:p>
            <w:pPr>
              <w:pStyle w:val="no_spacing_paragraph"/>
            </w:pPr>
            <w:r>
              <w:rPr>
                <w:rStyle w:val="verdana_9_bold"/>
              </w:rPr>
              <w:t xml:space="preserve">aucune</w:t>
            </w:r>
            <w:r>
              <w:rPr>
                <w:rStyle w:val="verdana_9_bold"/>
              </w:rPr>
              <w:t xml:space="preserve"> = </w:t>
            </w:r>
            <w:r>
              <w:rPr>
                <w:rStyle w:val="verdana_9"/>
              </w:rPr>
              <w:t xml:space="preserve">toutes les désignations doivent encore être notifiées</w:t>
            </w:r>
          </w:p>
        </w:tc>
      </w:tr>
      <w:tr>
        <w:trPr/>
        <w:tc>
          <w:tcPr>
            <w:tcW w:w="3000" w:type="dxa"/>
          </w:tcPr>
          <w:p>
            <w:pPr>
              <w:pStyle w:val="no_spacing_paragraph"/>
            </w:pPr>
            <w:r>
              <w:rPr>
                <w:rStyle w:val="verdana_9"/>
              </w:rPr>
              <w:t xml:space="preserve">Dates de mise en œuvre</w:t>
            </w:r>
          </w:p>
          <w:p>
            <w:pPr>
              <w:pStyle w:val="no_spacing_paragraph"/>
            </w:pPr>
            <w:r>
              <w:rPr>
                <w:rStyle w:val="verdana_9"/>
              </w:rPr>
              <w:t xml:space="preserve">IND = Indicative</w:t>
            </w:r>
          </w:p>
          <w:p>
            <w:pPr>
              <w:pStyle w:val="no_spacing_paragraph"/>
            </w:pPr>
            <w:r>
              <w:rPr>
                <w:rStyle w:val="verdana_9"/>
              </w:rPr>
              <w:t xml:space="preserve">DEF = Définitive</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toutes les dates dans la catégorie</w:t>
            </w:r>
          </w:p>
          <w:p>
            <w:pPr>
              <w:pStyle w:val="no_spacing_paragraph"/>
            </w:pPr>
            <w:r>
              <w:rPr>
                <w:rStyle w:val="verdana_9_bold"/>
              </w:rPr>
              <w:t xml:space="preserve">Non</w:t>
            </w:r>
            <w:r>
              <w:rPr>
                <w:rStyle w:val="verdana_9_bold"/>
              </w:rPr>
              <w:t xml:space="preserve"> = </w:t>
            </w:r>
            <w:r>
              <w:rPr>
                <w:rStyle w:val="verdana_9"/>
              </w:rPr>
              <w:t xml:space="preserve">le Membre n'a pas notifié de date dans la catégorie</w:t>
            </w:r>
          </w:p>
          <w:p>
            <w:pPr>
              <w:pStyle w:val="no_spacing_paragraph"/>
            </w:pPr>
            <w:r>
              <w:rPr>
                <w:rStyle w:val="verdana_9_bold"/>
              </w:rPr>
              <w:t xml:space="preserve">Certaines</w:t>
            </w:r>
            <w:r>
              <w:rPr>
                <w:rStyle w:val="verdana_9_bold"/>
              </w:rPr>
              <w:t xml:space="preserve"> = </w:t>
            </w:r>
            <w:r>
              <w:rPr>
                <w:rStyle w:val="verdana_9"/>
              </w:rPr>
              <w:t xml:space="preserve">le Membre a notifié certaines dates dans la catégorie</w:t>
            </w:r>
          </w:p>
          <w:p>
            <w:pPr>
              <w:pStyle w:val="no_spacing_paragraph"/>
            </w:pPr>
            <w:r>
              <w:rPr>
                <w:rStyle w:val="verdana_9_bold"/>
              </w:rPr>
              <w:t xml:space="preserve">s/o</w:t>
            </w:r>
            <w:r>
              <w:rPr>
                <w:rStyle w:val="verdana_9_bold"/>
              </w:rPr>
              <w:t xml:space="preserve"> = </w:t>
            </w:r>
            <w:r>
              <w:rPr>
                <w:rStyle w:val="verdana_9"/>
              </w:rPr>
              <w:t xml:space="preserve">sans objet</w:t>
            </w:r>
          </w:p>
        </w:tc>
      </w:tr>
      <w:tr>
        <w:trPr/>
        <w:tc>
          <w:tcPr>
            <w:tcW w:w="3000" w:type="dxa"/>
          </w:tcPr>
          <w:p>
            <w:pPr>
              <w:pStyle w:val="no_spacing_paragraph"/>
            </w:pPr>
            <w:r>
              <w:rPr>
                <w:rStyle w:val="verdana_9"/>
              </w:rPr>
              <w:t xml:space="preserve">Notifications en matière d'ATRC (assistance technique et renforcement des capacités)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tous ses besoins en matière d'ATRC</w:t>
            </w:r>
          </w:p>
          <w:p>
            <w:pPr>
              <w:pStyle w:val="no_spacing_paragraph"/>
            </w:pPr>
            <w:r>
              <w:rPr>
                <w:rStyle w:val="verdana_9_bold"/>
              </w:rPr>
              <w:t xml:space="preserve">Non</w:t>
            </w:r>
            <w:r>
              <w:rPr>
                <w:rStyle w:val="verdana_9_bold"/>
              </w:rPr>
              <w:t xml:space="preserve"> = </w:t>
            </w:r>
            <w:r>
              <w:rPr>
                <w:rStyle w:val="verdana_9"/>
              </w:rPr>
              <w:t xml:space="preserve">le Membre n'a pas notifié de besoins en matière d'ATRC</w:t>
            </w:r>
          </w:p>
          <w:p>
            <w:pPr>
              <w:pStyle w:val="no_spacing_paragraph"/>
            </w:pPr>
            <w:r>
              <w:rPr>
                <w:rStyle w:val="verdana_9_bold"/>
              </w:rPr>
              <w:t xml:space="preserve">Certaines</w:t>
            </w:r>
            <w:r>
              <w:rPr>
                <w:rStyle w:val="verdana_9_bold"/>
              </w:rPr>
              <w:t xml:space="preserve"> = </w:t>
            </w:r>
            <w:r>
              <w:rPr>
                <w:rStyle w:val="verdana_9"/>
              </w:rPr>
              <w:t xml:space="preserve">le Membre a présenté certaines notifications en matière d'ATRC</w:t>
            </w:r>
          </w:p>
          <w:p>
            <w:pPr>
              <w:pStyle w:val="no_spacing_paragraph"/>
            </w:pPr>
            <w:r>
              <w:rPr>
                <w:rStyle w:val="verdana_9_bold"/>
              </w:rPr>
              <w:t xml:space="preserve">s/o</w:t>
            </w:r>
            <w:r>
              <w:rPr>
                <w:rStyle w:val="verdana_9_bold"/>
              </w:rPr>
              <w:t xml:space="preserve"> = </w:t>
            </w:r>
            <w:r>
              <w:rPr>
                <w:rStyle w:val="verdana_9"/>
              </w:rPr>
              <w:t xml:space="preserve">sans objet</w:t>
            </w:r>
          </w:p>
        </w:tc>
      </w:tr>
    </w:tbl>
    <w:p>
      <w:r>
        <w:br w:type="page"/>
      </w:r>
    </w:p>
    <w:p>
      <w:pPr/>
      <w:r>
        <w:rPr>
          <w:rStyle w:val="verdana_9_bold"/>
        </w:rPr>
        <w:t xml:space="preserve">2. Notifications en matière de transparence  </w:t>
      </w:r>
      <w:r>
        <w:rPr>
          <w:rStyle w:val="verdana_9"/>
        </w:rPr>
        <w:t xml:space="preserve">(Articles 1.4, 10.4.3, 10.6.2 et 12.2.2)</w:t>
      </w:r>
      <w:r>
        <w:rPr>
          <w:rStyle w:val="verdana_9"/>
        </w:rPr>
        <w:t xml:space="preserve">………………………………</w:t>
      </w:r>
      <w:r>
        <w:rPr>
          <w:rStyle w:val="verdana_9"/>
        </w:rPr>
        <w:t xml:space="preserve">aller à la page 16</w:t>
      </w:r>
    </w:p>
    <w:p>
      <w:pPr/>
      <w:r>
        <w:rPr>
          <w:rStyle w:val="verdana_9"/>
        </w:rPr>
        <w:t xml:space="preserve">Un tableau récapitulatif montre le statut des notifications pour chaque article relatif à la transparence. Les chiffres rendent compte du nombre de Membres qui ont présenté des notifications pour les articles en question ou qui ne l'ont PAS encore fait. En ce qui concerne l'article 1:4, les renseignements sont davantage détaillés pour indiquer si TOUS les points de l'article, CERTAINS ou AUCUN ont fait l'objet d'une notification. En effet, certains Membres ont présenté des notifications ne concernant qu'une partie de l'article 1.4</w:t>
      </w:r>
    </w:p>
    <w:tbl>
      <w:tblGrid>
        <w:gridCol w:w="3000" w:type="dxa"/>
        <w:gridCol w:w="8500" w:type="dxa"/>
      </w:tblGrid>
      <w:tblPr>
        <w:tblStyle w:val="IntroTable"/>
      </w:tblPr>
      <w:tr>
        <w:trPr/>
        <w:tc>
          <w:tcPr>
            <w:tcW w:w="3000" w:type="dxa"/>
          </w:tcPr>
          <w:p>
            <w:pPr>
              <w:pStyle w:val="no_spacing_paragraph"/>
            </w:pPr>
            <w:r>
              <w:rPr>
                <w:rStyle w:val="verdana_9"/>
              </w:rPr>
              <w:t xml:space="preserve">Tous les Membres</w:t>
            </w:r>
          </w:p>
        </w:tc>
        <w:tc>
          <w:tcPr>
            <w:tcW w:w="8500" w:type="dxa"/>
          </w:tcPr>
          <w:p>
            <w:pPr>
              <w:pStyle w:val="no_spacing_paragraph"/>
            </w:pPr>
            <w:r>
              <w:rPr>
                <w:rStyle w:val="verdana_9"/>
              </w:rPr>
              <w:t xml:space="preserve">Pays en développement, PMA et pays développés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r>
        <w:trPr/>
        <w:tc>
          <w:tcPr>
            <w:tcW w:w="3000" w:type="dxa"/>
          </w:tcPr>
          <w:p>
            <w:pPr>
              <w:pStyle w:val="no_spacing_paragraph"/>
            </w:pPr>
            <w:r>
              <w:rPr>
                <w:rStyle w:val="verdana_9"/>
              </w:rPr>
              <w:t xml:space="preserve">Pays développés</w:t>
            </w:r>
          </w:p>
        </w:tc>
        <w:tc>
          <w:tcPr>
            <w:tcW w:w="8500" w:type="dxa"/>
          </w:tcPr>
          <w:p>
            <w:pPr>
              <w:pStyle w:val="no_spacing_paragraph"/>
            </w:pPr>
            <w:r>
              <w:rPr>
                <w:rStyle w:val="verdana_9"/>
              </w:rPr>
              <w:t xml:space="preserve">Pays développés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Non</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catégorie dans laquelle l'article a été notifié:</w:t>
            </w:r>
          </w:p>
          <w:p>
            <w:pPr>
              <w:pStyle w:val="no_spacing_paragraph"/>
            </w:pPr>
            <w:r>
              <w:rPr>
                <w:rStyle w:val="verdana_9_bold"/>
              </w:rPr>
              <w:t xml:space="preserve">A, B, C</w:t>
            </w:r>
            <w:r>
              <w:rPr>
                <w:rStyle w:val="verdana_9_bold"/>
              </w:rPr>
              <w:t xml:space="preserve"> = </w:t>
            </w:r>
            <w:r>
              <w:rPr>
                <w:rStyle w:val="verdana_9"/>
              </w:rPr>
              <w:t xml:space="preserve">notification complète dans la catégorie en question</w:t>
            </w:r>
          </w:p>
          <w:p>
            <w:pPr>
              <w:pStyle w:val="no_spacing_paragraph"/>
            </w:pPr>
            <w:r>
              <w:rPr>
                <w:rStyle w:val="verdana_9_bold"/>
              </w:rPr>
              <w:t xml:space="preserve">n/a</w:t>
            </w:r>
            <w:r>
              <w:rPr>
                <w:rStyle w:val="verdana_9_bold"/>
              </w:rPr>
              <w:t xml:space="preserve"> = </w:t>
            </w:r>
            <w:r>
              <w:rPr>
                <w:rStyle w:val="verdana_9"/>
              </w:rPr>
              <w:t xml:space="preserve">notification partielle dans la catégorie en question</w:t>
            </w:r>
          </w:p>
          <w:p>
            <w:pPr>
              <w:pStyle w:val="no_spacing_paragraph"/>
            </w:pPr>
            <w:r>
              <w:rPr>
                <w:rStyle w:val="verdana_9_bold"/>
              </w:rPr>
              <w:t xml:space="preserve">N</w:t>
            </w:r>
            <w:r>
              <w:rPr>
                <w:rStyle w:val="verdana_9_bold"/>
              </w:rPr>
              <w:t xml:space="preserve"> = </w:t>
            </w:r>
            <w:r>
              <w:rPr>
                <w:rStyle w:val="verdana_9"/>
              </w:rPr>
              <w:t xml:space="preserve">pas encore notifié</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Transparence</w:t>
            </w:r>
          </w:p>
        </w:tc>
        <w:tc>
          <w:tcPr>
            <w:tcW w:w="8500" w:type="dxa"/>
          </w:tcPr>
          <w:p>
            <w:pPr>
              <w:pStyle w:val="no_spacing_paragraph"/>
            </w:pPr>
            <w:r>
              <w:rPr>
                <w:rStyle w:val="verdana_9"/>
              </w:rPr>
              <w:t xml:space="preserve">le Membre a notifié cet article dans une notification de transparence</w:t>
            </w:r>
          </w:p>
        </w:tc>
      </w:tr>
    </w:tbl>
    <w:p>
      <w:r>
        <w:br w:type="page"/>
      </w:r>
    </w:p>
    <w:p>
      <w:pPr/>
      <w:r>
        <w:rPr>
          <w:rStyle w:val="verdana_9_bold"/>
        </w:rPr>
        <w:t xml:space="preserve">3. Notifications concernant l'assistance et le soutien pour le renforcement des capacités fournis par des Membres donateurs </w:t>
      </w:r>
      <w:r>
        <w:rPr>
          <w:rStyle w:val="verdana_9"/>
        </w:rPr>
        <w:t xml:space="preserve">(Articles 22.1 et 22.2)</w:t>
      </w:r>
      <w:r>
        <w:rPr>
          <w:rStyle w:val="verdana_9"/>
        </w:rPr>
        <w:t xml:space="preserve">……………………………………………………………………………………………………</w:t>
      </w:r>
      <w:r>
        <w:rPr>
          <w:rStyle w:val="verdana_9"/>
        </w:rPr>
        <w:t xml:space="preserve">aller à la page 30</w:t>
      </w:r>
    </w:p>
    <w:p>
      <w:pPr/>
      <w:r>
        <w:rPr>
          <w:rStyle w:val="verdana_9"/>
        </w:rPr>
        <w:t xml:space="preserve">Un tableau récapitulatif montre le statut des notifications concernant les donateurs. Les chiffres rendent compte du nombre de Membres donateurs qui ont présenté des notifications au titre de chacun des articles applicables.</w:t>
      </w:r>
    </w:p>
    <w:p>
      <w:pPr/>
      <w:r>
        <w:rPr>
          <w:rStyle w:val="verdana_9"/>
        </w:rPr>
        <w:t xml:space="preserve">La liste des Membres concernés présente leur statut respectif en matière de notification. Le contenu des colonnes indique: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ANNÉE période considérée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pour la période considérée, ou pas.</w:t>
            </w:r>
          </w:p>
        </w:tc>
      </w:tr>
      <w:tr>
        <w:trPr/>
        <w:tc>
          <w:tcPr>
            <w:vMerge w:val="continue"/>
          </w:tcPr>
          <w:p/>
        </w:tc>
        <w:tc>
          <w:tcPr>
            <w:tcW w:w="1800" w:type="dxa"/>
          </w:tcPr>
          <w:p>
            <w:pPr/>
            <w:r>
              <w:rPr>
                <w:rStyle w:val="verdana_9"/>
              </w:rPr>
              <w:t xml:space="preserve">Notification en ANNÉE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au cours de l'année indiquée, ou pas.</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notifié des renseignements relatifs à l'article 22.2 ou pas.</w:t>
            </w:r>
          </w:p>
        </w:tc>
      </w:tr>
    </w:tbl>
    <w:p>
      <w:pPr/>
      <w:r>
        <w:rPr>
          <w:rStyle w:val="verdana_9"/>
        </w:rPr>
        <w:t xml:space="preserve"/>
      </w:r>
    </w:p>
    <w:p>
      <w:pPr/>
      <w:r>
        <w:rPr>
          <w:rStyle w:val="verdana_9_bold"/>
        </w:rPr>
        <w:t xml:space="preserve">4. Notifications concernant les points de contact des pays en développement et des PMA qui demandent une assistance technique et un soutien pour le renforcement des capacités </w:t>
      </w:r>
      <w:r>
        <w:rPr>
          <w:rStyle w:val="verdana_9"/>
        </w:rPr>
        <w:t xml:space="preserve"> (Article 22.3)</w:t>
      </w:r>
      <w:r>
        <w:rPr>
          <w:rStyle w:val="verdana_9"/>
        </w:rPr>
        <w:t xml:space="preserve">………………………</w:t>
      </w:r>
      <w:r>
        <w:rPr>
          <w:rStyle w:val="verdana_9"/>
        </w:rPr>
        <w:t xml:space="preserve">aller à la page 32</w:t>
      </w:r>
    </w:p>
    <w:p>
      <w:pPr/>
      <w:r>
        <w:rPr>
          <w:rStyle w:val="verdana_9"/>
        </w:rPr>
        <w:t xml:space="preserve">Un tableau récapitulatif montre le statut des notifications concernant les renseignements relatifs à l'article 22.3 présentées par des pays en développement et des PMA. Il rend compte du nombre de Membres qui ont présenté des notifications au titre de l'article 22.3 par rapport au nombre total de Membres qui ont notifié des engagements de la catégorie C.</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22.3 </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RESUMÉ DES NOTIFICATIONS CONCERNANT LES CATÉGORIES A, B ET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Désignations des catégories A,B,C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Pays en développement et PMA Membres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Membres qui ont présenté TOUTES les désignations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Membres qui n'ont PAS presenté de désignations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Membres qui ont présenté CERTAINES désignations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indicatives relatives à la catégorie B </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indicatives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définitives relatives à la catégorie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définitives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Besoins en matière d'assistance technique pour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TOUS leur besoins en matière d'ATRC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Membres qui n'ont pas notifié leur besoins en matière d'ATRC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Membres qui ont notifié CERTAINS besoins en matière d'ATRC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Membre</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Désignations des catégories A,B,C</w:t>
            </w:r>
          </w:p>
        </w:tc>
        <w:tc>
          <w:tcPr>
            <w:tcW w:w="1000" w:type="dxa"/>
            <w:vAlign w:val="center"/>
          </w:tcPr>
          <w:p>
            <w:pPr>
              <w:jc w:val="center"/>
            </w:pPr>
            <w:r>
              <w:rPr>
                <w:rFonts w:ascii="Verdana" w:hAnsi="Verdana" w:eastAsia="Verdana" w:cs="Verdana"/>
                <w:sz w:val="18"/>
                <w:szCs w:val="18"/>
                <w:b w:val="1"/>
                <w:bCs w:val="1"/>
              </w:rPr>
              <w:t xml:space="preserve">Dates IND
Cat.B</w:t>
            </w:r>
          </w:p>
        </w:tc>
        <w:tc>
          <w:tcPr>
            <w:tcW w:w="1000" w:type="dxa"/>
            <w:vAlign w:val="center"/>
          </w:tcPr>
          <w:p>
            <w:pPr>
              <w:jc w:val="center"/>
            </w:pPr>
            <w:r>
              <w:rPr>
                <w:rFonts w:ascii="Verdana" w:hAnsi="Verdana" w:eastAsia="Verdana" w:cs="Verdana"/>
                <w:sz w:val="18"/>
                <w:szCs w:val="18"/>
                <w:b w:val="1"/>
                <w:bCs w:val="1"/>
              </w:rPr>
              <w:t xml:space="preserve">Dates IND
Cat.C</w:t>
            </w:r>
          </w:p>
        </w:tc>
        <w:tc>
          <w:tcPr>
            <w:tcW w:w="1000" w:type="dxa"/>
            <w:vAlign w:val="center"/>
          </w:tcPr>
          <w:p>
            <w:pPr>
              <w:jc w:val="center"/>
            </w:pPr>
            <w:r>
              <w:rPr>
                <w:rFonts w:ascii="Verdana" w:hAnsi="Verdana" w:eastAsia="Verdana" w:cs="Verdana"/>
                <w:sz w:val="18"/>
                <w:szCs w:val="18"/>
                <w:b w:val="1"/>
                <w:bCs w:val="1"/>
              </w:rPr>
              <w:t xml:space="preserve">Dates DEF
Cat.B</w:t>
            </w:r>
          </w:p>
        </w:tc>
        <w:tc>
          <w:tcPr>
            <w:tcW w:w="1000" w:type="dxa"/>
            <w:vAlign w:val="center"/>
          </w:tcPr>
          <w:p>
            <w:pPr>
              <w:jc w:val="center"/>
            </w:pPr>
            <w:r>
              <w:rPr>
                <w:rFonts w:ascii="Verdana" w:hAnsi="Verdana" w:eastAsia="Verdana" w:cs="Verdana"/>
                <w:sz w:val="18"/>
                <w:szCs w:val="18"/>
                <w:b w:val="1"/>
                <w:bCs w:val="1"/>
              </w:rPr>
              <w:t xml:space="preserve">Dates DEF
Cat.C</w:t>
            </w:r>
          </w:p>
        </w:tc>
        <w:tc>
          <w:tcPr>
            <w:tcW w:w="1000" w:type="dxa"/>
            <w:vAlign w:val="center"/>
          </w:tcPr>
          <w:p>
            <w:pPr>
              <w:jc w:val="center"/>
            </w:pPr>
            <w:r>
              <w:rPr>
                <w:rFonts w:ascii="Verdana" w:hAnsi="Verdana" w:eastAsia="Verdana" w:cs="Verdana"/>
                <w:sz w:val="18"/>
                <w:szCs w:val="18"/>
                <w:b w:val="1"/>
                <w:bCs w:val="1"/>
              </w:rPr>
              <w:t xml:space="preserve">Notification
d'ATRC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et Barbuda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Arménie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Bahreïn,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Bénin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Bolivie, État plurinational 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Brésil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Brunéi Darussalam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Cambodge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Cameroun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centrafricaine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Tchad</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Comores</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Costa Rica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 Ivoire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démocratique du Congo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République Dominicaine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Équateur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Égypte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Eswatini, Royaume 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Fidji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Géorgie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Guinée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Guinée-Bissau</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Haïti</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Indonésie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Israël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Jamaïque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Corée,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Koweït, État du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République kirghize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démocratique populaire lao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Libéria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Malaisie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Maldives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Mauritanie</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Maurice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Mexique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Moldavie,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Monténégro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Maroc</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Népal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Nigéria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Macédoine du Nord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Oman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Papouasie-Nouvelle-Guinée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Pérou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Saint-Kitts-et-Nevis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Sainte-Lucie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Saint-Vincent-et-les Grenadines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Arabie saoudite,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Sénégal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Singapour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Îles Salomon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Afrique du Sud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Suriname</w:t>
            </w:r>
          </w:p>
        </w:tc>
        <w:tc>
          <w:tcPr>
            <w:tcW w:w="1000" w:type="dxa"/>
          </w:tcPr>
          <w:p>
            <w:pPr/>
            <w:r>
              <w:rPr>
                <w:rStyle w:val="verdana_9"/>
              </w:rPr>
              <w:t xml:space="preserve">Non</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Le Territoire douanier distinct de Taiwan, Penghu, Kinmen, Matsu (Taipei Chinois)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Tadjikistan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Tanzanie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Thaïlande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Trinité-et-Tobago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Ouganda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Ukraine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Émirats arabes unis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Uruguay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République bolivarienne du</w:t>
            </w:r>
          </w:p>
        </w:tc>
        <w:tc>
          <w:tcPr>
            <w:tcW w:w="1000" w:type="dxa"/>
          </w:tcPr>
          <w:p>
            <w:pPr/>
            <w:r>
              <w:rPr>
                <w:rStyle w:val="verdana_9"/>
              </w:rPr>
              <w:t xml:space="preserve">Oui</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Yémen</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Légende</w:t>
      </w:r>
    </w:p>
    <w:p>
      <w:pPr/>
      <w:r>
        <w:rPr>
          <w:rStyle w:val="verdana_9_bg_grey"/>
        </w:rPr>
        <w:t xml:space="preserve">Les Membres surlignés en gris sont des PMA</w:t>
      </w:r>
    </w:p>
    <w:p>
      <w:r>
        <w:br w:type="page"/>
      </w:r>
    </w:p>
    <w:p>
      <w:pPr/>
      <w:r>
        <w:rPr>
          <w:rStyle w:val="verdana_10_bold"/>
        </w:rPr>
        <w:t xml:space="preserve">2. NOTIFICATIONS EN MATIÈRE DE TRANSPARENCE (ARTICLES 1.4, 10.4.3, 10.6.2 et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Prescriptions en matière de notification</w:t>
            </w:r>
          </w:p>
        </w:tc>
        <w:tc>
          <w:tcPr>
            <w:tcW w:w="2000" w:type="dxa"/>
            <w:gridSpan w:val="2"/>
          </w:tcPr>
          <w:p>
            <w:pPr>
              <w:jc w:val="center"/>
            </w:pPr>
            <w:r>
              <w:rPr>
                <w:rFonts w:ascii="Verdana" w:hAnsi="Verdana" w:eastAsia="Verdana" w:cs="Verdana"/>
                <w:sz w:val="18"/>
                <w:szCs w:val="18"/>
                <w:b w:val="1"/>
                <w:bCs w:val="1"/>
              </w:rPr>
              <w:t xml:space="preserve">Tous les Membres</w:t>
            </w:r>
          </w:p>
        </w:tc>
        <w:tc>
          <w:tcPr>
            <w:tcW w:w="2000" w:type="dxa"/>
            <w:gridSpan w:val="2"/>
          </w:tcPr>
          <w:p>
            <w:pPr>
              <w:jc w:val="center"/>
            </w:pPr>
            <w:r>
              <w:rPr>
                <w:rFonts w:ascii="Verdana" w:hAnsi="Verdana" w:eastAsia="Verdana" w:cs="Verdana"/>
                <w:sz w:val="18"/>
                <w:szCs w:val="18"/>
                <w:b w:val="1"/>
                <w:bCs w:val="1"/>
              </w:rPr>
              <w:t xml:space="preserve">Pays en développement</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Pays développés</w:t>
            </w:r>
          </w:p>
        </w:tc>
      </w:tr>
      <w:tr>
        <w:trPr/>
        <w:tc>
          <w:tcPr>
            <w:tcW w:w="6000" w:type="dxa"/>
            <w:vAlign w:val="center"/>
            <w:shd w:val="clear" w:fill="756BB0"/>
          </w:tcPr>
          <w:p>
            <w:pPr/>
            <w:r>
              <w:rPr>
                <w:rStyle w:val="verdana_9_bold_white"/>
              </w:rPr>
              <w:t xml:space="preserve">1.4 - Procédures d'importation, d'exportation et de transit</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présenté des notifications au titre de TOUS les points de l'article</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présenté AUCUNE notification</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Membres qui ont présenté des notifications au titre de CERTAINS points de l'article</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Fonctionnement du guichet unique</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Recours à des courtiers en douanes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Points de contact pour l'échange de renseignements douaniers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Membre</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tcPr>
          <w:p>
            <w:pPr/>
            <w:r>
              <w:rPr>
                <w:rStyle w:val="verdana_9"/>
              </w:rPr>
              <w:t xml:space="preserve">Afrique du Sud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22 février 2038</w:t>
            </w:r>
          </w:p>
        </w:tc>
      </w:tr>
      <w:tr>
        <w:trPr/>
        <w:tc>
          <w:tcPr>
            <w:tcW w:w="5000" w:type="dxa"/>
          </w:tcPr>
          <w:p>
            <w:pPr/>
            <w:r>
              <w:rPr>
                <w:rStyle w:val="verdana_9"/>
              </w:rPr>
              <w:t xml:space="preserve">Afrique du Sud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janvier 2024</w:t>
            </w:r>
          </w:p>
        </w:tc>
      </w:tr>
      <w:tr>
        <w:trPr/>
        <w:tc>
          <w:tcPr>
            <w:tcW w:w="5000" w:type="dxa"/>
          </w:tcPr>
          <w:p>
            <w:pPr/>
            <w:r>
              <w:rPr>
                <w:rStyle w:val="verdana_9"/>
              </w:rPr>
              <w:t xml:space="preserve">Albanie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2024</w:t>
            </w:r>
          </w:p>
        </w:tc>
      </w:tr>
      <w:tr>
        <w:trPr/>
        <w:tc>
          <w:tcPr>
            <w:tcW w:w="5000" w:type="dxa"/>
          </w:tcPr>
          <w:p>
            <w:pPr/>
            <w:r>
              <w:rPr>
                <w:rStyle w:val="verdana_9"/>
              </w:rPr>
              <w:t xml:space="preserve">Antigua et Barbuda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Antigua et Barbuda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2035</w:t>
            </w:r>
          </w:p>
        </w:tc>
      </w:tr>
      <w:tr>
        <w:trPr/>
        <w:tc>
          <w:tcPr>
            <w:tcW w:w="5000" w:type="dxa"/>
          </w:tcPr>
          <w:p>
            <w:pPr/>
            <w:r>
              <w:rPr>
                <w:rStyle w:val="verdana_9"/>
              </w:rPr>
              <w:t xml:space="preserve">Antigua et Barbuda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Antigua et Barbuda</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2034</w:t>
            </w:r>
          </w:p>
        </w:tc>
      </w:tr>
      <w:tr>
        <w:trPr/>
        <w:tc>
          <w:tcPr>
            <w:tcW w:w="5000" w:type="dxa"/>
          </w:tcPr>
          <w:p>
            <w:pPr/>
            <w:r>
              <w:rPr>
                <w:rStyle w:val="verdana_9"/>
              </w:rPr>
              <w:t xml:space="preserve">Arabie saoudite,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2017 - 22 janvier 2018</w:t>
            </w:r>
          </w:p>
        </w:tc>
      </w:tr>
      <w:tr>
        <w:trPr/>
        <w:tc>
          <w:tcPr>
            <w:tcW w:w="5000" w:type="dxa"/>
          </w:tcPr>
          <w:p>
            <w:pPr/>
            <w:r>
              <w:rPr>
                <w:rStyle w:val="verdana_9"/>
              </w:rPr>
              <w:t xml:space="preserve">Argentine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25 janvier 2026</w:t>
            </w:r>
          </w:p>
        </w:tc>
      </w:tr>
      <w:tr>
        <w:trPr/>
        <w:tc>
          <w:tcPr>
            <w:tcW w:w="5000" w:type="dxa"/>
          </w:tcPr>
          <w:p>
            <w:pPr/>
            <w:r>
              <w:rPr>
                <w:rStyle w:val="verdana_9"/>
              </w:rPr>
              <w:t xml:space="preserve">Argentine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Arménie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Arménie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Arménie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Arménie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2023</w:t>
            </w:r>
          </w:p>
        </w:tc>
      </w:tr>
      <w:tr>
        <w:trPr/>
        <w:tc>
          <w:tcPr>
            <w:tcW w:w="5000" w:type="dxa"/>
          </w:tcPr>
          <w:p>
            <w:pPr/>
            <w:r>
              <w:rPr>
                <w:rStyle w:val="verdana_9"/>
              </w:rPr>
              <w:t xml:space="preserve">Bahreïn,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Bahreïn,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Barbade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Barbade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Barbade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Barbade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2022</w:t>
            </w:r>
          </w:p>
        </w:tc>
      </w:tr>
      <w:tr>
        <w:trPr/>
        <w:tc>
          <w:tcPr>
            <w:tcW w:w="5000" w:type="dxa"/>
          </w:tcPr>
          <w:p>
            <w:pPr/>
            <w:r>
              <w:rPr>
                <w:rStyle w:val="verdana_9"/>
              </w:rPr>
              <w:t xml:space="preserve">Belgique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Bolivie, État plurinational 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Bolivie, État plurinational 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Brésil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juillet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 janvier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juillet 2025</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2023</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mai 2024</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septembre 2021 - 30 septembre 2022</w:t>
            </w:r>
          </w:p>
        </w:tc>
      </w:tr>
      <w:tr>
        <w:trPr/>
        <w:tc>
          <w:tcPr>
            <w:tcW w:w="5000" w:type="dxa"/>
          </w:tcPr>
          <w:p>
            <w:pPr/>
            <w:r>
              <w:rPr>
                <w:rStyle w:val="verdana_9"/>
              </w:rPr>
              <w:t xml:space="preserve">Cameroun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Cameroun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19 juillet 2019</w:t>
            </w:r>
          </w:p>
        </w:tc>
      </w:tr>
      <w:tr>
        <w:trPr/>
        <w:tc>
          <w:tcPr>
            <w:tcW w:w="5000" w:type="dxa"/>
          </w:tcPr>
          <w:p>
            <w:pPr/>
            <w:r>
              <w:rPr>
                <w:rStyle w:val="verdana_9"/>
              </w:rPr>
              <w:t xml:space="preserve">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décembre 2019</w:t>
            </w:r>
          </w:p>
        </w:tc>
      </w:tr>
      <w:tr>
        <w:trPr/>
        <w:tc>
          <w:tcPr>
            <w:tcW w:w="5000" w:type="dxa"/>
          </w:tcPr>
          <w:p>
            <w:pPr/>
            <w:r>
              <w:rPr>
                <w:rStyle w:val="verdana_9"/>
              </w:rPr>
              <w:t xml:space="preserve">Chypre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juillet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2025</w:t>
            </w:r>
          </w:p>
        </w:tc>
      </w:tr>
      <w:tr>
        <w:trPr/>
        <w:tc>
          <w:tcPr>
            <w:tcW w:w="5000" w:type="dxa"/>
          </w:tcPr>
          <w:p>
            <w:pPr/>
            <w:r>
              <w:rPr>
                <w:rStyle w:val="verdana_9"/>
              </w:rPr>
              <w:t xml:space="preserve">Corée,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Côte d' Ivoire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2021</w:t>
            </w:r>
          </w:p>
        </w:tc>
      </w:tr>
      <w:tr>
        <w:trPr/>
        <w:tc>
          <w:tcPr>
            <w:tcW w:w="5000" w:type="dxa"/>
          </w:tcPr>
          <w:p>
            <w:pPr/>
            <w:r>
              <w:rPr>
                <w:rStyle w:val="verdana_9"/>
              </w:rPr>
              <w:t xml:space="preserve">Côte d' Ivoire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Croatie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Danemark</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Dominique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Dominique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janvier 2021</w:t>
            </w:r>
          </w:p>
        </w:tc>
      </w:tr>
      <w:tr>
        <w:trPr/>
        <w:tc>
          <w:tcPr>
            <w:tcW w:w="5000" w:type="dxa"/>
          </w:tcPr>
          <w:p>
            <w:pPr/>
            <w:r>
              <w:rPr>
                <w:rStyle w:val="verdana_9"/>
              </w:rPr>
              <w:t xml:space="preserve">Égypte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2027</w:t>
            </w:r>
          </w:p>
        </w:tc>
      </w:tr>
      <w:tr>
        <w:trPr/>
        <w:tc>
          <w:tcPr>
            <w:tcW w:w="5000" w:type="dxa"/>
          </w:tcPr>
          <w:p>
            <w:pPr/>
            <w:r>
              <w:rPr>
                <w:rStyle w:val="verdana_9"/>
              </w:rPr>
              <w:t xml:space="preserve">Égypte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Égypte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Égypte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2021</w:t>
            </w:r>
          </w:p>
        </w:tc>
      </w:tr>
      <w:tr>
        <w:trPr/>
        <w:tc>
          <w:tcPr>
            <w:tcW w:w="5000" w:type="dxa"/>
          </w:tcPr>
          <w:p>
            <w:pPr/>
            <w:r>
              <w:rPr>
                <w:rStyle w:val="verdana_9"/>
              </w:rPr>
              <w:t xml:space="preserve">Émirats arabes 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2022</w:t>
            </w:r>
          </w:p>
        </w:tc>
      </w:tr>
      <w:tr>
        <w:trPr/>
        <w:tc>
          <w:tcPr>
            <w:tcW w:w="5000" w:type="dxa"/>
          </w:tcPr>
          <w:p>
            <w:pPr/>
            <w:r>
              <w:rPr>
                <w:rStyle w:val="verdana_9"/>
              </w:rPr>
              <w:t xml:space="preserve">Émirats arabes 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Équateur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15 juillet 2027</w:t>
            </w:r>
          </w:p>
        </w:tc>
      </w:tr>
      <w:tr>
        <w:trPr/>
        <w:tc>
          <w:tcPr>
            <w:tcW w:w="5000" w:type="dxa"/>
          </w:tcPr>
          <w:p>
            <w:pPr/>
            <w:r>
              <w:rPr>
                <w:rStyle w:val="verdana_9"/>
              </w:rPr>
              <w:t xml:space="preserve">Équateur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Espagne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2021</w:t>
            </w:r>
          </w:p>
        </w:tc>
      </w:tr>
      <w:tr>
        <w:trPr/>
        <w:tc>
          <w:tcPr>
            <w:tcW w:w="5000" w:type="dxa"/>
          </w:tcPr>
          <w:p>
            <w:pPr/>
            <w:r>
              <w:rPr>
                <w:rStyle w:val="verdana_9"/>
              </w:rPr>
              <w:t xml:space="preserve">Eswatini, Royaume 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2025</w:t>
            </w:r>
          </w:p>
        </w:tc>
      </w:tr>
      <w:tr>
        <w:trPr/>
        <w:tc>
          <w:tcPr>
            <w:tcW w:w="5000" w:type="dxa"/>
          </w:tcPr>
          <w:p>
            <w:pPr/>
            <w:r>
              <w:rPr>
                <w:rStyle w:val="verdana_9"/>
              </w:rPr>
              <w:t xml:space="preserve">Eswatini, Royaume 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États-Unis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Fidji</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2017</w:t>
            </w:r>
          </w:p>
        </w:tc>
      </w:tr>
      <w:tr>
        <w:trPr/>
        <w:tc>
          <w:tcPr>
            <w:tcW w:w="5000" w:type="dxa"/>
          </w:tcPr>
          <w:p>
            <w:pPr/>
            <w:r>
              <w:rPr>
                <w:rStyle w:val="verdana_9"/>
              </w:rPr>
              <w:t xml:space="preserve">Fidji</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Fidji</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Fidji</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Finlande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Géorgie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septembre 2025</w:t>
            </w:r>
          </w:p>
        </w:tc>
      </w:tr>
      <w:tr>
        <w:trPr/>
        <w:tc>
          <w:tcPr>
            <w:tcW w:w="5000" w:type="dxa"/>
          </w:tcPr>
          <w:p>
            <w:pPr/>
            <w:r>
              <w:rPr>
                <w:rStyle w:val="verdana_9"/>
              </w:rPr>
              <w:t xml:space="preserve">Grèce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Grenade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Grenade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2017 - 01 février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2024</w:t>
            </w:r>
          </w:p>
        </w:tc>
      </w:tr>
      <w:tr>
        <w:trPr/>
        <w:tc>
          <w:tcPr>
            <w:tcW w:w="5000" w:type="dxa"/>
          </w:tcPr>
          <w:p>
            <w:pPr/>
            <w:r>
              <w:rPr>
                <w:rStyle w:val="verdana_9"/>
              </w:rPr>
              <w:t xml:space="preserve">Hong Kong,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2050</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2040</w:t>
            </w:r>
          </w:p>
        </w:tc>
      </w:tr>
      <w:tr>
        <w:trPr/>
        <w:tc>
          <w:tcPr>
            <w:tcW w:w="5000" w:type="dxa"/>
          </w:tcPr>
          <w:p>
            <w:pPr/>
            <w:r>
              <w:rPr>
                <w:rStyle w:val="verdana_9"/>
              </w:rPr>
              <w:t xml:space="preserve">Inde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octobre 2021</w:t>
            </w:r>
          </w:p>
        </w:tc>
      </w:tr>
      <w:tr>
        <w:trPr/>
        <w:tc>
          <w:tcPr>
            <w:tcW w:w="5000" w:type="dxa"/>
          </w:tcPr>
          <w:p>
            <w:pPr/>
            <w:r>
              <w:rPr>
                <w:rStyle w:val="verdana_9"/>
              </w:rPr>
              <w:t xml:space="preserve">Inde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avril 2019</w:t>
            </w:r>
          </w:p>
        </w:tc>
      </w:tr>
      <w:tr>
        <w:trPr/>
        <w:tc>
          <w:tcPr>
            <w:tcW w:w="5000" w:type="dxa"/>
          </w:tcPr>
          <w:p>
            <w:pPr/>
            <w:r>
              <w:rPr>
                <w:rStyle w:val="verdana_9"/>
              </w:rPr>
              <w:t xml:space="preserve">Inde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2020</w:t>
            </w:r>
          </w:p>
        </w:tc>
      </w:tr>
      <w:tr>
        <w:trPr/>
        <w:tc>
          <w:tcPr>
            <w:tcW w:w="5000" w:type="dxa"/>
          </w:tcPr>
          <w:p>
            <w:pPr/>
            <w:r>
              <w:rPr>
                <w:rStyle w:val="verdana_9"/>
              </w:rPr>
              <w:t xml:space="preserve">Jamaïque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mars 2023</w:t>
            </w:r>
          </w:p>
        </w:tc>
      </w:tr>
      <w:tr>
        <w:trPr/>
        <w:tc>
          <w:tcPr>
            <w:tcW w:w="5000" w:type="dxa"/>
          </w:tcPr>
          <w:p>
            <w:pPr/>
            <w:r>
              <w:rPr>
                <w:rStyle w:val="verdana_9"/>
              </w:rPr>
              <w:t xml:space="preserve">Jamaïque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Japon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Jordanie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octobre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8 septembre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août 2025</w:t>
            </w:r>
          </w:p>
        </w:tc>
      </w:tr>
      <w:tr>
        <w:trPr/>
        <w:tc>
          <w:tcPr>
            <w:tcW w:w="5000" w:type="dxa"/>
          </w:tcPr>
          <w:p>
            <w:pPr/>
            <w:r>
              <w:rPr>
                <w:rStyle w:val="verdana_9"/>
              </w:rPr>
              <w:t xml:space="preserve">Koweït, État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tcPr>
          <w:p>
            <w:pPr/>
            <w:r>
              <w:rPr>
                <w:rStyle w:val="verdana_9"/>
              </w:rPr>
              <w:t xml:space="preserve">Koweït, État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tcPr>
          <w:p>
            <w:pPr/>
            <w:r>
              <w:rPr>
                <w:rStyle w:val="verdana_9"/>
              </w:rPr>
              <w:t xml:space="preserve">Lettonie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13 novembre 2019</w:t>
            </w:r>
          </w:p>
        </w:tc>
      </w:tr>
      <w:tr>
        <w:trPr/>
        <w:tc>
          <w:tcPr>
            <w:tcW w:w="5000" w:type="dxa"/>
          </w:tcPr>
          <w:p>
            <w:pPr/>
            <w:r>
              <w:rPr>
                <w:rStyle w:val="verdana_9"/>
              </w:rPr>
              <w:t xml:space="preserve">Macao,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avril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tcPr>
          <w:p>
            <w:pPr/>
            <w:r>
              <w:rPr>
                <w:rStyle w:val="verdana_9"/>
              </w:rPr>
              <w:t xml:space="preserve">Malaisie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juillet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Maroc</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2026</w:t>
            </w:r>
          </w:p>
        </w:tc>
      </w:tr>
      <w:tr>
        <w:trPr/>
        <w:tc>
          <w:tcPr>
            <w:tcW w:w="5000" w:type="dxa"/>
          </w:tcPr>
          <w:p>
            <w:pPr/>
            <w:r>
              <w:rPr>
                <w:rStyle w:val="verdana_9"/>
              </w:rPr>
              <w:t xml:space="preserve">Maurice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2019</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Mexique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Moldavie,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Mongolie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Mongolie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Monténégro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2025</w:t>
            </w:r>
          </w:p>
        </w:tc>
      </w:tr>
      <w:tr>
        <w:trPr/>
        <w:tc>
          <w:tcPr>
            <w:tcW w:w="5000" w:type="dxa"/>
          </w:tcPr>
          <w:p>
            <w:pPr/>
            <w:r>
              <w:rPr>
                <w:rStyle w:val="verdana_9"/>
              </w:rPr>
              <w:t xml:space="preserve">Monténégro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Namibie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Namibie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Namibie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Namibie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tcPr>
          <w:p>
            <w:pPr/>
            <w:r>
              <w:rPr>
                <w:rStyle w:val="verdana_9"/>
              </w:rPr>
              <w:t xml:space="preserve">Nigéria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Nigéria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2025</w:t>
            </w:r>
          </w:p>
        </w:tc>
      </w:tr>
      <w:tr>
        <w:trPr/>
        <w:tc>
          <w:tcPr>
            <w:tcW w:w="5000" w:type="dxa"/>
          </w:tcPr>
          <w:p>
            <w:pPr/>
            <w:r>
              <w:rPr>
                <w:rStyle w:val="verdana_9"/>
              </w:rPr>
              <w:t xml:space="preserve">Nigéria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2020</w:t>
            </w:r>
          </w:p>
        </w:tc>
      </w:tr>
      <w:tr>
        <w:trPr/>
        <w:tc>
          <w:tcPr>
            <w:tcW w:w="5000" w:type="dxa"/>
          </w:tcPr>
          <w:p>
            <w:pPr/>
            <w:r>
              <w:rPr>
                <w:rStyle w:val="verdana_9"/>
              </w:rPr>
              <w:t xml:space="preserve">Nigéria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2024</w:t>
            </w:r>
          </w:p>
        </w:tc>
      </w:tr>
      <w:tr>
        <w:trPr/>
        <w:tc>
          <w:tcPr>
            <w:tcW w:w="5000" w:type="dxa"/>
          </w:tcPr>
          <w:p>
            <w:pPr/>
            <w:r>
              <w:rPr>
                <w:rStyle w:val="verdana_9"/>
              </w:rPr>
              <w:t xml:space="preserve">Norvège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juillet 2025</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juillet 2023</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01 juin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janvier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Papouasie-Nouvelle-Guinée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Papouasie-Nouvelle-Guinée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01 septembre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2021</w:t>
            </w:r>
          </w:p>
        </w:tc>
      </w:tr>
      <w:tr>
        <w:trPr/>
        <w:tc>
          <w:tcPr>
            <w:tcW w:w="5000" w:type="dxa"/>
          </w:tcPr>
          <w:p>
            <w:pPr/>
            <w:r>
              <w:rPr>
                <w:rStyle w:val="verdana_9"/>
              </w:rPr>
              <w:t xml:space="preserve">Pérou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République Dominicaine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République Dominicaine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République kirghize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République kirghize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République slovaque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tcPr>
          <w:p>
            <w:pPr/>
            <w:r>
              <w:rPr>
                <w:rStyle w:val="verdana_9"/>
              </w:rPr>
              <w:t xml:space="preserve">Saint-Kitts-et-Nevis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2017</w:t>
            </w:r>
          </w:p>
        </w:tc>
      </w:tr>
      <w:tr>
        <w:trPr/>
        <w:tc>
          <w:tcPr>
            <w:tcW w:w="5000" w:type="dxa"/>
          </w:tcPr>
          <w:p>
            <w:pPr/>
            <w:r>
              <w:rPr>
                <w:rStyle w:val="verdana_9"/>
              </w:rPr>
              <w:t xml:space="preserve">Saint-Kitts-et-Nevis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Saint-Kitts-et-Nevis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Saint-Kitts-et-Nevis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Saint-Vincent-et-les Grenadines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Saint-Vincent-et-les Grenadines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2023</w:t>
            </w:r>
          </w:p>
        </w:tc>
      </w:tr>
      <w:tr>
        <w:trPr/>
        <w:tc>
          <w:tcPr>
            <w:tcW w:w="5000" w:type="dxa"/>
          </w:tcPr>
          <w:p>
            <w:pPr/>
            <w:r>
              <w:rPr>
                <w:rStyle w:val="verdana_9"/>
              </w:rPr>
              <w:t xml:space="preserve">Sainte-Lucie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Sainte-Lucie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juin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octobre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Singapour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Suède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Tadjikistan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Tadjikistan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2023</w:t>
            </w:r>
          </w:p>
        </w:tc>
      </w:tr>
      <w:tr>
        <w:trPr/>
        <w:tc>
          <w:tcPr>
            <w:tcW w:w="5000" w:type="dxa"/>
          </w:tcPr>
          <w:p>
            <w:pPr/>
            <w:r>
              <w:rPr>
                <w:rStyle w:val="verdana_9"/>
              </w:rPr>
              <w:t xml:space="preserve">Tadjikistan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Tadjikistan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2019</w:t>
            </w:r>
          </w:p>
        </w:tc>
      </w:tr>
      <w:tr>
        <w:trPr/>
        <w:tc>
          <w:tcPr>
            <w:tcW w:w="5000" w:type="dxa"/>
          </w:tcPr>
          <w:p>
            <w:pPr/>
            <w:r>
              <w:rPr>
                <w:rStyle w:val="verdana_9"/>
              </w:rPr>
              <w:t xml:space="preserve">Taipei chinois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décembre 2028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Thaïlande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2020</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mars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Trinité-et-Tobago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Tunisie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Tunisie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2021</w:t>
            </w:r>
          </w:p>
        </w:tc>
      </w:tr>
      <w:tr>
        <w:trPr/>
        <w:tc>
          <w:tcPr>
            <w:tcW w:w="5000" w:type="dxa"/>
          </w:tcPr>
          <w:p>
            <w:pPr/>
            <w:r>
              <w:rPr>
                <w:rStyle w:val="verdana_9"/>
              </w:rPr>
              <w:t xml:space="preserve">Union européenne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Venezuela, République bolivarienne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bl>
    <w:p>
      <w:pPr/>
      <w:r>
        <w:rPr/>
        <w:t xml:space="preserve"/>
      </w:r>
    </w:p>
    <w:p>
      <w:pPr/>
      <w:r>
        <w:rPr>
          <w:rStyle w:val="verdana_9_bold"/>
        </w:rPr>
        <w:t xml:space="preserve">Légende</w:t>
      </w:r>
    </w:p>
    <w:p>
      <w:pPr>
        <w:pStyle w:val="less_spacing_paragraph"/>
      </w:pPr>
      <w:r>
        <w:rPr>
          <w:rStyle w:val="verdana_9_bg_grey"/>
        </w:rPr>
        <w:t xml:space="preserve">Les Membres surlignés en gris sont des PMA</w:t>
      </w:r>
    </w:p>
    <w:p>
      <w:pPr>
        <w:sectPr>
          <w:pgSz w:orient="portrait" w:w="11905.511811023622" w:h="16837.79527559055"/>
          <w:pgMar w:top="1140" w:right="1440" w:bottom="1140" w:left="1440" w:header="720" w:footer="720" w:gutter="0"/>
          <w:cols w:num="1" w:space="720"/>
        </w:sectPr>
      </w:pPr>
    </w:p>
    <w:p>
      <w:pPr/>
      <w:r>
        <w:rPr>
          <w:rStyle w:val="verdana_10_bold"/>
        </w:rPr>
        <w:t xml:space="preserve">3. RÉSUMÉ DES NOTIFICATIONS PRÉSENTÉES AU TITRE DES ARTICLES 22.1 ET 22.2 </w:t>
      </w:r>
      <w:r>
        <w:rPr>
          <w:rStyle w:val="verdana_10"/>
        </w:rPr>
        <w:t xml:space="preserve"> - ASSISTANCE TECHNIQUE ET SOUTIEN POUR LE RENFORCEMENT DES CAPACITÉS FOURNIS PAR LES MEMBRES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Technique et soutien pour le renforcement des capacités fournis par les Membres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Membres qui ont notifié</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Membre</w:t>
            </w:r>
          </w:p>
        </w:tc>
        <w:tc>
          <w:tcPr>
            <w:tcW w:w="1700" w:type="dxa"/>
            <w:vAlign w:val="center"/>
          </w:tcPr>
          <w:p>
            <w:pPr>
              <w:jc w:val="center"/>
            </w:pPr>
            <w:r>
              <w:rPr>
                <w:rFonts w:ascii="Verdana" w:hAnsi="Verdana" w:eastAsia="Verdana" w:cs="Verdana"/>
                <w:sz w:val="18"/>
                <w:szCs w:val="18"/>
                <w:b w:val="1"/>
                <w:bCs w:val="1"/>
              </w:rPr>
              <w:t xml:space="preserve">Art. 22.1 
(2016 période considérée)</w:t>
            </w:r>
          </w:p>
        </w:tc>
        <w:tc>
          <w:tcPr>
            <w:tcW w:w="1700" w:type="dxa"/>
            <w:vAlign w:val="center"/>
          </w:tcPr>
          <w:p>
            <w:pPr>
              <w:jc w:val="center"/>
            </w:pPr>
            <w:r>
              <w:rPr>
                <w:rFonts w:ascii="Verdana" w:hAnsi="Verdana" w:eastAsia="Verdana" w:cs="Verdana"/>
                <w:sz w:val="18"/>
                <w:szCs w:val="18"/>
                <w:b w:val="1"/>
                <w:bCs w:val="1"/>
              </w:rPr>
              <w:t xml:space="preserve">Art. 22.1 
(2017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2017)</w:t>
            </w:r>
          </w:p>
        </w:tc>
        <w:tc>
          <w:tcPr>
            <w:tcW w:w="1700" w:type="dxa"/>
            <w:vAlign w:val="center"/>
          </w:tcPr>
          <w:p>
            <w:pPr>
              <w:jc w:val="center"/>
            </w:pPr>
            <w:r>
              <w:rPr>
                <w:rFonts w:ascii="Verdana" w:hAnsi="Verdana" w:eastAsia="Verdana" w:cs="Verdana"/>
                <w:sz w:val="18"/>
                <w:szCs w:val="18"/>
                <w:b w:val="1"/>
                <w:bCs w:val="1"/>
              </w:rPr>
              <w:t xml:space="preserve">Art. 22.1 
(2018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2018)</w:t>
            </w:r>
          </w:p>
        </w:tc>
        <w:tc>
          <w:tcPr>
            <w:tcW w:w="1700" w:type="dxa"/>
            <w:vAlign w:val="center"/>
          </w:tcPr>
          <w:p>
            <w:pPr>
              <w:jc w:val="center"/>
            </w:pPr>
            <w:r>
              <w:rPr>
                <w:rFonts w:ascii="Verdana" w:hAnsi="Verdana" w:eastAsia="Verdana" w:cs="Verdana"/>
                <w:sz w:val="18"/>
                <w:szCs w:val="18"/>
                <w:b w:val="1"/>
                <w:bCs w:val="1"/>
              </w:rPr>
              <w:t xml:space="preserve">Art. 22.1 
(2019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2019)</w:t>
            </w:r>
          </w:p>
        </w:tc>
        <w:tc>
          <w:tcPr>
            <w:tcW w:w="1700" w:type="dxa"/>
            <w:vAlign w:val="center"/>
          </w:tcPr>
          <w:p>
            <w:pPr>
              <w:jc w:val="center"/>
            </w:pPr>
            <w:r>
              <w:rPr>
                <w:rFonts w:ascii="Verdana" w:hAnsi="Verdana" w:eastAsia="Verdana" w:cs="Verdana"/>
                <w:sz w:val="18"/>
                <w:szCs w:val="18"/>
                <w:b w:val="1"/>
                <w:bCs w:val="1"/>
              </w:rPr>
              <w:t xml:space="preserve">Art. 22.1 
(2020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Australie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Autriche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Belgique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Bulgarie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Canada</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Chine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Croatie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Chypre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tchèque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Danemark</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Union européenne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Finlande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française</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Allemagne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Grèce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Hongrie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Irlande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Italie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Japon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Lettonie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Lituanie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Luxembourg</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Malte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Pays-Bas</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Nouvelle-Zélande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Norvège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Pologne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Portugal</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Roumanie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slovaque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Slovénie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Espagne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Suède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Suisse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Le Territoire douanier distinct de Taiwan, Penghu, Kinmen, Matsu (Taipei Chinois)</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Royaume-Uni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États-Unis</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AU TITRE DE L'ARTICLE 22.3 </w:t>
      </w:r>
      <w:r>
        <w:rPr>
          <w:rStyle w:val="verdana_10"/>
        </w:rPr>
        <w:t xml:space="preserve"> - POINTS DE CONTACT DES PAYS EN DÉVELOPPEMENT ET DES PMA QUI DEMANDENT UNE ASSISTANCE TECHNIQUE ET UN SOUTIEN POUR LE RENFORCEMENT DES CAPACITÉS </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Points de contact des Membres qui demandent des mesures d'ATRC</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Membres qui ont notifié des engagements relevant de la catégorie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Membres qui ont présenté une notification au titre de l'article 22.3</w:t>
            </w:r>
          </w:p>
        </w:tc>
        <w:tc>
          <w:tcPr>
            <w:tcW w:w="750" w:type="dxa"/>
            <w:vAlign w:val="center"/>
          </w:tcPr>
          <w:p>
            <w:pPr>
              <w:jc w:val="center"/>
            </w:pPr>
            <w:r>
              <w:rPr>
                <w:rStyle w:val="verdana_9"/>
              </w:rPr>
              <w:t xml:space="preserve">75</w:t>
            </w:r>
          </w:p>
        </w:tc>
        <w:tc>
          <w:tcPr>
            <w:tcW w:w="750" w:type="dxa"/>
            <w:vAlign w:val="center"/>
          </w:tcPr>
          <w:p>
            <w:pPr>
              <w:jc w:val="center"/>
            </w:pPr>
            <w:r>
              <w:rPr>
                <w:rStyle w:val="verdana_9"/>
              </w:rPr>
              <w:t xml:space="preserve">77%</w:t>
            </w:r>
          </w:p>
        </w:tc>
      </w:tr>
      <w:tr>
        <w:trPr/>
        <w:tc>
          <w:tcPr>
            <w:tcW w:w="4500" w:type="dxa"/>
            <w:vAlign w:val="center"/>
          </w:tcPr>
          <w:p>
            <w:pPr/>
            <w:r>
              <w:rPr>
                <w:rStyle w:val="verdana_9"/>
              </w:rPr>
              <w:t xml:space="preserve"> Membres qui n'ont pas présenté de notification au titre de l'article 22.3</w:t>
            </w:r>
          </w:p>
        </w:tc>
        <w:tc>
          <w:tcPr>
            <w:tcW w:w="750" w:type="dxa"/>
            <w:vAlign w:val="center"/>
          </w:tcPr>
          <w:p>
            <w:pPr>
              <w:jc w:val="center"/>
            </w:pPr>
            <w:r>
              <w:rPr>
                <w:rStyle w:val="verdana_9"/>
              </w:rPr>
              <w:t xml:space="preserve">22</w:t>
            </w:r>
          </w:p>
        </w:tc>
        <w:tc>
          <w:tcPr>
            <w:tcW w:w="750" w:type="dxa"/>
            <w:vAlign w:val="center"/>
          </w:tcPr>
          <w:p>
            <w:pPr>
              <w:jc w:val="center"/>
            </w:pPr>
            <w:r>
              <w:rPr>
                <w:rStyle w:val="verdana_9"/>
              </w:rPr>
              <w:t xml:space="preserve">23%</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Membre</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Engagements de la Cat.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Albanie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Antigua et Barbuda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Arménie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Bahreïn, Royaume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Barbade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Belize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Bénin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Bolivie, État plurinational 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Botswana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Cabo Verde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Cambodge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Cameroun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République centrafricaine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Tchad</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Comores</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Congo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Costa Rica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Côte d' Ivoire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Cuba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démocratique du Congo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Dominique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République Dominicaine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Équateur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Égypte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El Salvador</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Eswatini, Royaume d'</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Fidji</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Gabon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Géorgie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Ghana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Grenade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Guatemala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Guinée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Guyana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Honduras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Jamaïque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Jordanie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Kazakhstan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Kenya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République kirghize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démocratique populaire lao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Libéria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Maldives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Mauritanie</w:t>
            </w:r>
          </w:p>
        </w:tc>
        <w:tc>
          <w:tcPr>
            <w:tcW w:w="3500" w:type="dxa"/>
            <w:shd w:val="clear" w:fill="F0F0F0"/>
          </w:tcPr>
          <w:p>
            <w:pPr/>
            <w:r>
              <w:rPr>
                <w:rStyle w:val="verdana_9"/>
              </w:rPr>
              <w:t xml:space="preserve">Non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Maurice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Moldavie, République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Mongolie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Monténégro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Maroc</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Namibie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Népal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Nicaragua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Nigéria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Panama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Papouasie-Nouvelle-Guinée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Paraguay</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Pérou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Philippines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Saint-Kitts-et-Nevis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Sainte-Lucie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Saint-Vincent-et-les Grenadines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Samoa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Sénégal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Seychelles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Îles Salomon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Sri Lanka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Suriname</w:t>
            </w:r>
          </w:p>
        </w:tc>
        <w:tc>
          <w:tcPr>
            <w:tcW w:w="3500" w:type="dxa"/>
          </w:tcPr>
          <w:p>
            <w:pPr/>
            <w:r>
              <w:rPr>
                <w:rStyle w:val="verdana_9"/>
              </w:rPr>
              <w:t xml:space="preserve">Non</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Tadjikistan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Tanzanie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Tonga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Trinité-et-Tobago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Tunisie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Ouganda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Ukraine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Vanuatu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Viet Nam</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Zambie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Zimbabwe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bl>
    <w:p>
      <w:pPr/>
      <w:r>
        <w:rPr>
          <w:rStyle w:val="verdana_9"/>
        </w:rPr>
        <w:t xml:space="preserve"/>
      </w:r>
    </w:p>
    <w:p>
      <w:pPr/>
      <w:r>
        <w:rPr>
          <w:rStyle w:val="verdana_9_bold"/>
        </w:rPr>
        <w:t xml:space="preserve">Updated on 5 septembre 2026</w:t>
      </w:r>
      <w:r>
        <w:rPr>
          <w:rStyle w:val="verdana_9"/>
        </w:rPr>
        <w:t xml:space="preserve"> (date of the last notification received)</w:t>
      </w:r>
    </w:p>
    <w:p>
      <w:pPr/>
      <w:r>
        <w:rPr>
          <w:rStyle w:val="verdana_9"/>
        </w:rPr>
        <w:t xml:space="preserve">Pour des renseignements supplémentaires concernant les notifications, veuillez consulter notre site Web à l'adresse suivante:</w:t>
      </w:r>
    </w:p>
    <w:p>
      <w:hyperlink r:id="rId7" w:history="1">
        <w:r>
          <w:rPr>
            <w:rStyle w:val="verdana_10_blue"/>
          </w:rPr>
          <w:t xml:space="preserve">www.tfadatabase.org</w:t>
        </w:r>
      </w:hyperlink>
    </w:p>
    <w:p>
      <w:pPr/>
      <w:r>
        <w:rPr>
          <w:rStyle w:val="verdana_9"/>
        </w:rPr>
        <w:t xml:space="preserve">Une version en ligne de cette matrice est disponible à l'adresse suivante:</w:t>
      </w:r>
    </w:p>
    <w:p>
      <w:hyperlink r:id="rId8" w:history="1">
        <w:r>
          <w:rPr>
            <w:rStyle w:val="verdana_10_blue"/>
          </w:rPr>
          <w:t xml:space="preserve">https://www.tfadatabase.org/notifications-matrix</w:t>
        </w:r>
      </w:hyperlink>
    </w:p>
    <w:p>
      <w:pPr/>
      <w:r>
        <w:rPr>
          <w:rStyle w:val="verdana_9"/>
        </w:rPr>
        <w:t xml:space="preserve">Le Secrétariat de l'OMC reste à la disposition des Membres pour toute assistance concernant le processus de notification.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 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w:t>
      </w:r>
    </w:p>
  </w:footnote>
  <w:footnote w:id="2">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3">
    <w:p>
      <w:r>
        <w:rPr>
          <w:rStyle w:val="FootnoteReference"/>
        </w:rPr>
        <w:footnoteRef/>
      </w:r>
      <w:r>
        <w:t xml:space="preserve"> </w:t>
      </w:r>
      <w:r>
        <w:rPr>
          <w:rStyle w:val="verdana_8"/>
        </w:rPr>
        <w:t xml:space="preserve">Venezuela, Bolivarian Republic of, Venezuela, Bolivarian Republic of</w:t>
      </w:r>
    </w:p>
  </w:footnote>
  <w:footnote w:id="4">
    <w:p>
      <w:r>
        <w:rPr>
          <w:rStyle w:val="FootnoteReference"/>
        </w:rPr>
        <w:footnoteRef/>
      </w:r>
      <w:r>
        <w:t xml:space="preserve"> </w:t>
      </w:r>
      <w:r>
        <w:rPr>
          <w:rStyle w:val="verdana_8"/>
        </w:rPr>
        <w:t xml:space="preserve">Guinea-Bissau, Haiti, Yemen, Guinea-Bissau, Haiti, Yemen</w:t>
      </w:r>
    </w:p>
  </w:footnote>
  <w:footnote w:id="5">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w:t>
      </w:r>
    </w:p>
  </w:footnote>
  <w:footnote w:id="6">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9">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0">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w:t>
      </w:r>
    </w:p>
  </w:footnote>
  <w:footnote w:id="11">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2">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3">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4">
    <w:p>
      <w:r>
        <w:rPr>
          <w:rStyle w:val="FootnoteReference"/>
        </w:rPr>
        <w:footnoteRef/>
      </w:r>
      <w:r>
        <w:t xml:space="preserve"> </w:t>
      </w:r>
      <w:r>
        <w:rPr>
          <w:rStyle w:val="verdana_8"/>
        </w:rPr>
        <w:t xml:space="preserve">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5">
    <w:p>
      <w:r>
        <w:rPr>
          <w:rStyle w:val="FootnoteReference"/>
        </w:rPr>
        <w:footnoteRef/>
      </w:r>
      <w:r>
        <w:t xml:space="preserve"> </w:t>
      </w:r>
      <w:r>
        <w:rPr>
          <w:rStyle w:val="verdana_8"/>
        </w:rPr>
        <w:t xml:space="preserve">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Plurinational State of, Bolivia, Plurinational State of</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0">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 w:id="21">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2">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2026-09-07T11:35:17+00:00</dcterms:created>
  <dcterms:modified xsi:type="dcterms:W3CDTF">2026-09-07T11:35:17+00:00</dcterms:modified>
</cp:coreProperties>
</file>

<file path=docProps/custom.xml><?xml version="1.0" encoding="utf-8"?>
<Properties xmlns="http://schemas.openxmlformats.org/officeDocument/2006/custom-properties" xmlns:vt="http://schemas.openxmlformats.org/officeDocument/2006/docPropsVTypes"/>
</file>