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C565" w14:textId="77777777" w:rsidR="006A2271" w:rsidRPr="009E6627" w:rsidRDefault="006A2271" w:rsidP="006A2271">
      <w:pPr>
        <w:pStyle w:val="SummaryHeader"/>
        <w:spacing w:after="120"/>
        <w:jc w:val="center"/>
        <w:rPr>
          <w:sz w:val="20"/>
          <w:szCs w:val="20"/>
        </w:rPr>
      </w:pPr>
      <w:bookmarkStart w:id="0" w:name="_Hlk76464847"/>
      <w:r w:rsidRPr="009E6627">
        <w:rPr>
          <w:sz w:val="20"/>
        </w:rPr>
        <w:t>comité de facilitación del comercio</w:t>
      </w:r>
      <w:r w:rsidRPr="009E6627">
        <w:rPr>
          <w:sz w:val="20"/>
        </w:rPr>
        <w:br/>
        <w:t xml:space="preserve">sesión específica sobre asistencia técnica </w:t>
      </w:r>
      <w:r>
        <w:rPr>
          <w:sz w:val="20"/>
        </w:rPr>
        <w:br/>
      </w:r>
      <w:r w:rsidRPr="009E6627">
        <w:rPr>
          <w:sz w:val="20"/>
        </w:rPr>
        <w:t>y creación de capacidad</w:t>
      </w:r>
    </w:p>
    <w:bookmarkEnd w:id="0"/>
    <w:p w14:paraId="3345A3DC" w14:textId="77777777" w:rsidR="006A2271" w:rsidRPr="009E6627" w:rsidRDefault="006A2271" w:rsidP="006A2271">
      <w:pPr>
        <w:pStyle w:val="Title2"/>
        <w:spacing w:after="240"/>
        <w:rPr>
          <w:b/>
          <w:bCs/>
          <w:caps w:val="0"/>
          <w:smallCaps/>
          <w:sz w:val="20"/>
          <w:szCs w:val="20"/>
        </w:rPr>
      </w:pPr>
      <w:r w:rsidRPr="009E6627">
        <w:rPr>
          <w:b/>
          <w:caps w:val="0"/>
          <w:smallCaps/>
          <w:sz w:val="20"/>
          <w:u w:val="single"/>
        </w:rPr>
        <w:t>Programa</w:t>
      </w:r>
    </w:p>
    <w:p w14:paraId="11AC059E" w14:textId="77777777" w:rsidR="006A2271" w:rsidRPr="009E6627" w:rsidRDefault="006A2271" w:rsidP="006A2271">
      <w:pPr>
        <w:pStyle w:val="Heading2"/>
        <w:numPr>
          <w:ilvl w:val="0"/>
          <w:numId w:val="0"/>
        </w:numPr>
        <w:spacing w:before="120" w:after="120"/>
        <w:jc w:val="center"/>
        <w:rPr>
          <w:sz w:val="20"/>
          <w:szCs w:val="20"/>
        </w:rPr>
      </w:pPr>
      <w:r w:rsidRPr="009E6627">
        <w:rPr>
          <w:sz w:val="20"/>
          <w:u w:val="single"/>
        </w:rPr>
        <w:t>Miércoles 23 de octubre de 2024 (17.30 - 19 h)</w:t>
      </w:r>
      <w:r w:rsidRPr="009E6627">
        <w:rPr>
          <w:sz w:val="20"/>
        </w:rPr>
        <w:br/>
        <w:t>Recepción de apertura</w:t>
      </w:r>
    </w:p>
    <w:p w14:paraId="0F6037F2" w14:textId="77777777" w:rsidR="006A2271" w:rsidRPr="009E6627" w:rsidRDefault="006A2271" w:rsidP="006A2271">
      <w:pPr>
        <w:pStyle w:val="Heading3"/>
        <w:numPr>
          <w:ilvl w:val="0"/>
          <w:numId w:val="0"/>
        </w:numPr>
        <w:jc w:val="center"/>
        <w:rPr>
          <w:b w:val="0"/>
          <w:bCs w:val="0"/>
          <w:color w:val="auto"/>
          <w:szCs w:val="18"/>
        </w:rPr>
      </w:pPr>
      <w:r w:rsidRPr="009E6627">
        <w:rPr>
          <w:b w:val="0"/>
          <w:i/>
          <w:color w:val="auto"/>
        </w:rPr>
        <w:t>Encuentro informal para establecer contactos con el que se inaugurará la sesión específica en la que participarán Miembros beneficiarios, Miembros donantes y asociados para el desarrollo. En</w:t>
      </w:r>
      <w:r w:rsidRPr="009E6627">
        <w:rPr>
          <w:b w:val="0"/>
          <w:bCs w:val="0"/>
          <w:color w:val="auto"/>
          <w:szCs w:val="18"/>
        </w:rPr>
        <w:t> </w:t>
      </w:r>
      <w:r w:rsidRPr="009E6627">
        <w:rPr>
          <w:b w:val="0"/>
          <w:i/>
          <w:color w:val="auto"/>
        </w:rPr>
        <w:t xml:space="preserve">este evento los asistentes tendrán una valiosa oportunidad para interactuar e </w:t>
      </w:r>
      <w:r>
        <w:rPr>
          <w:b w:val="0"/>
          <w:i/>
          <w:color w:val="auto"/>
        </w:rPr>
        <w:br/>
      </w:r>
      <w:r w:rsidRPr="009E6627">
        <w:rPr>
          <w:b w:val="0"/>
          <w:i/>
          <w:color w:val="auto"/>
        </w:rPr>
        <w:t>intercambiar impresiones, y se invitará a los Miembros interesados a participar.</w:t>
      </w:r>
    </w:p>
    <w:p w14:paraId="794F0591" w14:textId="77777777" w:rsidR="006A2271" w:rsidRPr="009E6627" w:rsidRDefault="006A2271" w:rsidP="006A2271">
      <w:pPr>
        <w:pStyle w:val="Heading2"/>
        <w:numPr>
          <w:ilvl w:val="0"/>
          <w:numId w:val="0"/>
        </w:numPr>
        <w:jc w:val="center"/>
        <w:rPr>
          <w:sz w:val="20"/>
          <w:szCs w:val="20"/>
          <w:u w:val="single"/>
        </w:rPr>
      </w:pPr>
      <w:r w:rsidRPr="009E6627">
        <w:rPr>
          <w:sz w:val="20"/>
          <w:u w:val="single"/>
        </w:rPr>
        <w:t>Jueves 24 de octubre de 2024 (10 - 17 h)</w:t>
      </w:r>
    </w:p>
    <w:tbl>
      <w:tblPr>
        <w:tblStyle w:val="WTOTable1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6A2271" w:rsidRPr="009C3588" w14:paraId="26D80B34" w14:textId="77777777" w:rsidTr="003A0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019" w:type="pct"/>
          </w:tcPr>
          <w:p w14:paraId="679596E4" w14:textId="77777777" w:rsidR="006A2271" w:rsidRPr="009C3588" w:rsidRDefault="006A2271" w:rsidP="003A0705">
            <w:pPr>
              <w:spacing w:before="60" w:after="6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Hora</w:t>
            </w:r>
          </w:p>
        </w:tc>
        <w:tc>
          <w:tcPr>
            <w:tcW w:w="3981" w:type="pct"/>
          </w:tcPr>
          <w:p w14:paraId="70CA958C" w14:textId="77777777" w:rsidR="006A2271" w:rsidRPr="009C3588" w:rsidRDefault="006A2271" w:rsidP="003A0705">
            <w:pPr>
              <w:spacing w:before="60" w:after="6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Sesión</w:t>
            </w:r>
          </w:p>
        </w:tc>
      </w:tr>
      <w:tr w:rsidR="006A2271" w:rsidRPr="009C3588" w14:paraId="73889D1D" w14:textId="77777777" w:rsidTr="003A0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1019" w:type="pct"/>
          </w:tcPr>
          <w:p w14:paraId="4932A0BB" w14:textId="77777777" w:rsidR="006A2271" w:rsidRPr="009E6627" w:rsidRDefault="006A2271" w:rsidP="003A0705">
            <w:pPr>
              <w:spacing w:before="60" w:after="60"/>
              <w:jc w:val="left"/>
              <w:rPr>
                <w:b/>
                <w:bCs/>
                <w:color w:val="1F497D" w:themeColor="text2"/>
                <w:szCs w:val="18"/>
              </w:rPr>
            </w:pPr>
            <w:r w:rsidRPr="009E6627">
              <w:rPr>
                <w:b/>
                <w:color w:val="1F497D" w:themeColor="text2"/>
                <w:szCs w:val="18"/>
              </w:rPr>
              <w:t>10 - 11 h o 11.15 h</w:t>
            </w:r>
          </w:p>
          <w:p w14:paraId="364D13C8" w14:textId="77777777" w:rsidR="006A2271" w:rsidRPr="009C3588" w:rsidRDefault="006A2271" w:rsidP="003A0705">
            <w:pPr>
              <w:spacing w:before="60" w:after="60"/>
              <w:jc w:val="left"/>
              <w:rPr>
                <w:szCs w:val="18"/>
              </w:rPr>
            </w:pPr>
            <w:r w:rsidRPr="009E6627">
              <w:rPr>
                <w:color w:val="1F497D" w:themeColor="text2"/>
                <w:szCs w:val="18"/>
              </w:rPr>
              <w:t>(60-75 minutos)</w:t>
            </w:r>
          </w:p>
        </w:tc>
        <w:tc>
          <w:tcPr>
            <w:tcW w:w="3981" w:type="pct"/>
          </w:tcPr>
          <w:p w14:paraId="45FC9E12" w14:textId="77777777" w:rsidR="006A2271" w:rsidRPr="009E6627" w:rsidRDefault="006A2271" w:rsidP="003A0705">
            <w:pPr>
              <w:spacing w:before="60" w:after="120"/>
              <w:jc w:val="left"/>
              <w:rPr>
                <w:b/>
                <w:strike/>
                <w:color w:val="1F497D" w:themeColor="text2"/>
                <w:szCs w:val="18"/>
              </w:rPr>
            </w:pPr>
            <w:r w:rsidRPr="009E6627">
              <w:rPr>
                <w:b/>
                <w:color w:val="1F497D" w:themeColor="text2"/>
                <w:szCs w:val="18"/>
              </w:rPr>
              <w:t>Perspectivas de la asistencia técnica y la creación de capacidad durante el próximo período de dos años</w:t>
            </w:r>
          </w:p>
          <w:p w14:paraId="0748FE25" w14:textId="77777777" w:rsidR="006A2271" w:rsidRPr="009E6627" w:rsidRDefault="006A2271" w:rsidP="003A0705">
            <w:pPr>
              <w:spacing w:before="60" w:after="120"/>
              <w:contextualSpacing/>
              <w:jc w:val="left"/>
              <w:rPr>
                <w:i/>
                <w:iCs/>
                <w:szCs w:val="18"/>
              </w:rPr>
            </w:pPr>
            <w:r w:rsidRPr="009E6627">
              <w:rPr>
                <w:i/>
                <w:szCs w:val="18"/>
              </w:rPr>
              <w:t>Actualización prospectiva sobre el progreso de la asistencia técnica y el apoyo para la creación de capacidad, incluidas las cinco disposiciones principales de la categoría</w:t>
            </w:r>
            <w:r w:rsidRPr="009E6627">
              <w:rPr>
                <w:szCs w:val="18"/>
              </w:rPr>
              <w:t> </w:t>
            </w:r>
            <w:r w:rsidRPr="009E6627">
              <w:rPr>
                <w:i/>
                <w:szCs w:val="18"/>
              </w:rPr>
              <w:t>C que han de aplicarse en el próximo período de dos años hasta 2026:</w:t>
            </w:r>
          </w:p>
          <w:p w14:paraId="164A909C" w14:textId="77777777" w:rsidR="006A2271" w:rsidRPr="009E6627" w:rsidRDefault="006A2271" w:rsidP="006A2271">
            <w:pPr>
              <w:pStyle w:val="ListParagraph"/>
              <w:numPr>
                <w:ilvl w:val="0"/>
                <w:numId w:val="19"/>
              </w:numPr>
              <w:tabs>
                <w:tab w:val="left" w:pos="313"/>
              </w:tabs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Informe de situación presentado por la Secretaría sobre las fechas futuras para la aplicación de las disposiciones de la categoría C durante el próximo período de dos años (10 minutos)</w:t>
            </w:r>
          </w:p>
          <w:p w14:paraId="459A68DE" w14:textId="77777777" w:rsidR="006A2271" w:rsidRPr="009E6627" w:rsidRDefault="006A2271" w:rsidP="006A2271">
            <w:pPr>
              <w:pStyle w:val="ListParagraph"/>
              <w:numPr>
                <w:ilvl w:val="0"/>
                <w:numId w:val="19"/>
              </w:numPr>
              <w:tabs>
                <w:tab w:val="left" w:pos="313"/>
              </w:tabs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Informe de situación presentado por el TFAF, centrado en las futuras actividades específicas de asistencia técnica y creación de capacidad (10 minutos)</w:t>
            </w:r>
          </w:p>
          <w:p w14:paraId="4FB5EF54" w14:textId="77777777" w:rsidR="006A2271" w:rsidRPr="009E6627" w:rsidRDefault="006A2271" w:rsidP="006A2271">
            <w:pPr>
              <w:pStyle w:val="ListParagraph"/>
              <w:numPr>
                <w:ilvl w:val="0"/>
                <w:numId w:val="19"/>
              </w:numPr>
              <w:tabs>
                <w:tab w:val="left" w:pos="313"/>
              </w:tabs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Información actualizada presentada por los asociados para el desarrollo internacionales sobre el apoyo para la aplicación del AFC durante el próximo período de dos años (7 minutos cada orador; entre 25 y 40 minutos en total)</w:t>
            </w:r>
          </w:p>
          <w:p w14:paraId="11AB4BD3" w14:textId="77777777" w:rsidR="006A2271" w:rsidRPr="009C3588" w:rsidRDefault="006A2271" w:rsidP="006A2271">
            <w:pPr>
              <w:pStyle w:val="ListParagraph"/>
              <w:numPr>
                <w:ilvl w:val="0"/>
                <w:numId w:val="19"/>
              </w:numPr>
              <w:tabs>
                <w:tab w:val="left" w:pos="313"/>
              </w:tabs>
              <w:spacing w:after="12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Ronda de preguntas y respuestas con el público (15 minutos)</w:t>
            </w:r>
          </w:p>
        </w:tc>
      </w:tr>
      <w:tr w:rsidR="006A2271" w:rsidRPr="009C3588" w14:paraId="37D50B71" w14:textId="77777777" w:rsidTr="003A0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5000" w:type="pct"/>
            <w:gridSpan w:val="2"/>
          </w:tcPr>
          <w:p w14:paraId="5B005BF7" w14:textId="77777777" w:rsidR="006A2271" w:rsidRPr="009C3588" w:rsidRDefault="006A2271" w:rsidP="003A0705">
            <w:pPr>
              <w:spacing w:before="60"/>
              <w:jc w:val="center"/>
              <w:rPr>
                <w:szCs w:val="18"/>
              </w:rPr>
            </w:pPr>
            <w:r w:rsidRPr="009E6627">
              <w:rPr>
                <w:szCs w:val="18"/>
              </w:rPr>
              <w:t>Pausa matinal (11.15 - 11.30 h)</w:t>
            </w:r>
          </w:p>
        </w:tc>
      </w:tr>
      <w:tr w:rsidR="006A2271" w:rsidRPr="009C3588" w14:paraId="4C82ACE3" w14:textId="77777777" w:rsidTr="003A0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1019" w:type="pct"/>
          </w:tcPr>
          <w:p w14:paraId="0324B96F" w14:textId="77777777" w:rsidR="006A2271" w:rsidRPr="009E6627" w:rsidRDefault="006A2271" w:rsidP="003A0705">
            <w:pPr>
              <w:spacing w:before="60" w:after="60"/>
              <w:jc w:val="left"/>
              <w:rPr>
                <w:b/>
                <w:bCs/>
                <w:color w:val="1F497D" w:themeColor="text2"/>
                <w:szCs w:val="18"/>
              </w:rPr>
            </w:pPr>
            <w:r w:rsidRPr="009E6627">
              <w:rPr>
                <w:b/>
                <w:color w:val="1F497D" w:themeColor="text2"/>
                <w:szCs w:val="18"/>
              </w:rPr>
              <w:t>11.30 - 13 h</w:t>
            </w:r>
          </w:p>
          <w:p w14:paraId="32EA8076" w14:textId="77777777" w:rsidR="006A2271" w:rsidRPr="009C3588" w:rsidRDefault="006A2271" w:rsidP="003A0705">
            <w:pPr>
              <w:spacing w:before="60" w:after="60"/>
              <w:jc w:val="left"/>
              <w:rPr>
                <w:szCs w:val="18"/>
              </w:rPr>
            </w:pPr>
            <w:r w:rsidRPr="009E6627">
              <w:rPr>
                <w:color w:val="1F497D" w:themeColor="text2"/>
                <w:szCs w:val="18"/>
              </w:rPr>
              <w:t>(90 minutos)</w:t>
            </w:r>
          </w:p>
        </w:tc>
        <w:tc>
          <w:tcPr>
            <w:tcW w:w="3981" w:type="pct"/>
          </w:tcPr>
          <w:p w14:paraId="694EFDFE" w14:textId="77777777" w:rsidR="006A2271" w:rsidRPr="009E6627" w:rsidRDefault="006A2271" w:rsidP="003A0705">
            <w:pPr>
              <w:spacing w:before="60" w:after="120"/>
              <w:jc w:val="left"/>
              <w:rPr>
                <w:b/>
                <w:color w:val="1F497D" w:themeColor="text2"/>
                <w:szCs w:val="18"/>
              </w:rPr>
            </w:pPr>
            <w:r w:rsidRPr="009E6627">
              <w:rPr>
                <w:b/>
                <w:color w:val="1F497D" w:themeColor="text2"/>
                <w:szCs w:val="18"/>
              </w:rPr>
              <w:t>Debate I: Mejorar la coordinación en la esfera de la asistencia técnica y la creación de capacidad</w:t>
            </w:r>
          </w:p>
          <w:p w14:paraId="1672E2ED" w14:textId="77777777" w:rsidR="006A2271" w:rsidRPr="009E6627" w:rsidRDefault="006A2271" w:rsidP="003A0705">
            <w:pPr>
              <w:spacing w:after="120"/>
              <w:jc w:val="left"/>
              <w:rPr>
                <w:i/>
                <w:iCs/>
                <w:szCs w:val="18"/>
              </w:rPr>
            </w:pPr>
            <w:r w:rsidRPr="009E6627">
              <w:rPr>
                <w:i/>
                <w:szCs w:val="18"/>
              </w:rPr>
              <w:t>Debate en grupo entre los Miembros para intercambiar experiencias y examinar los logros y los desafíos respecto de la coordinación nacional, regional o internacional en la esfera de la prestación de asistencia técnica y creación de capacidad. Un moderador dirigirá el debate de la siguiente manera:</w:t>
            </w:r>
          </w:p>
          <w:p w14:paraId="507855EB" w14:textId="539EE10D" w:rsidR="006A2271" w:rsidRPr="009E6627" w:rsidRDefault="006A2271" w:rsidP="006A2271">
            <w:pPr>
              <w:pStyle w:val="ListParagraph"/>
              <w:numPr>
                <w:ilvl w:val="0"/>
                <w:numId w:val="20"/>
              </w:numPr>
              <w:spacing w:after="60"/>
              <w:ind w:left="714" w:hanging="357"/>
              <w:contextualSpacing w:val="0"/>
              <w:jc w:val="left"/>
              <w:rPr>
                <w:spacing w:val="-4"/>
                <w:szCs w:val="18"/>
              </w:rPr>
            </w:pPr>
            <w:r w:rsidRPr="009E6627">
              <w:rPr>
                <w:szCs w:val="18"/>
              </w:rPr>
              <w:t xml:space="preserve">Debate de expertos con los Miembros para intercambiar experiencias e ideas sobre la base de unas preguntas orientativas (60 minutos; </w:t>
            </w:r>
            <w:r w:rsidR="00E05056">
              <w:rPr>
                <w:szCs w:val="18"/>
              </w:rPr>
              <w:br/>
            </w:r>
            <w:r w:rsidRPr="009E6627">
              <w:rPr>
                <w:szCs w:val="18"/>
              </w:rPr>
              <w:t>6 panelistas)</w:t>
            </w:r>
          </w:p>
          <w:p w14:paraId="3384FE93" w14:textId="77777777" w:rsidR="006A2271" w:rsidRPr="009E6627" w:rsidRDefault="006A2271" w:rsidP="006A2271">
            <w:pPr>
              <w:pStyle w:val="ListParagraph"/>
              <w:numPr>
                <w:ilvl w:val="0"/>
                <w:numId w:val="20"/>
              </w:numPr>
              <w:spacing w:after="60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Ronda de preguntas y respuestas con el público (20 minutos)</w:t>
            </w:r>
          </w:p>
          <w:p w14:paraId="10271DF4" w14:textId="77777777" w:rsidR="006A2271" w:rsidRPr="009E6627" w:rsidRDefault="006A2271" w:rsidP="006A2271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Observaciones finales del moderador y los panelistas (10 minutos)</w:t>
            </w:r>
          </w:p>
          <w:p w14:paraId="47B4D73B" w14:textId="77777777" w:rsidR="006A2271" w:rsidRPr="009E6627" w:rsidRDefault="006A2271" w:rsidP="003A0705">
            <w:pPr>
              <w:spacing w:after="12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 xml:space="preserve">Moderador: Sr. Simon HESS, </w:t>
            </w:r>
            <w:proofErr w:type="gramStart"/>
            <w:r w:rsidRPr="009E6627">
              <w:rPr>
                <w:szCs w:val="18"/>
              </w:rPr>
              <w:t>Jefe</w:t>
            </w:r>
            <w:proofErr w:type="gramEnd"/>
            <w:r w:rsidRPr="009E6627">
              <w:rPr>
                <w:szCs w:val="18"/>
              </w:rPr>
              <w:t xml:space="preserve"> de Vigilancia y Evaluación, Marco Integrado mejorado de la OMC</w:t>
            </w:r>
          </w:p>
          <w:p w14:paraId="7FB1D81C" w14:textId="77777777" w:rsidR="006A2271" w:rsidRPr="009E6627" w:rsidRDefault="006A2271" w:rsidP="003A0705">
            <w:pPr>
              <w:keepNext/>
              <w:keepLines/>
              <w:spacing w:after="12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lastRenderedPageBreak/>
              <w:t>Panelistas:</w:t>
            </w:r>
          </w:p>
          <w:p w14:paraId="64BC96AB" w14:textId="77777777" w:rsidR="006A2271" w:rsidRPr="009E6627" w:rsidRDefault="006A2271" w:rsidP="006A2271">
            <w:pPr>
              <w:pStyle w:val="ListParagraph"/>
              <w:keepNext/>
              <w:keepLines/>
              <w:numPr>
                <w:ilvl w:val="0"/>
                <w:numId w:val="21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 xml:space="preserve">Sr. Omar </w:t>
            </w:r>
            <w:proofErr w:type="spellStart"/>
            <w:r w:rsidRPr="009E6627">
              <w:rPr>
                <w:szCs w:val="18"/>
              </w:rPr>
              <w:t>Darar</w:t>
            </w:r>
            <w:proofErr w:type="spellEnd"/>
            <w:r w:rsidRPr="009E6627">
              <w:rPr>
                <w:szCs w:val="18"/>
              </w:rPr>
              <w:t xml:space="preserve"> MOUSSA, </w:t>
            </w:r>
            <w:proofErr w:type="gramStart"/>
            <w:r w:rsidRPr="009E6627">
              <w:rPr>
                <w:szCs w:val="18"/>
              </w:rPr>
              <w:t>Director</w:t>
            </w:r>
            <w:proofErr w:type="gramEnd"/>
            <w:r w:rsidRPr="009E6627">
              <w:rPr>
                <w:szCs w:val="18"/>
              </w:rPr>
              <w:t xml:space="preserve"> de Comercio Exterior e Integración Regional, Presidente del CNFE, Ministerio de Comercio y Turismo (Djibouti)</w:t>
            </w:r>
          </w:p>
          <w:p w14:paraId="31ECF890" w14:textId="7780C343" w:rsidR="006A2271" w:rsidRPr="009E6627" w:rsidRDefault="006A2271" w:rsidP="006A2271">
            <w:pPr>
              <w:pStyle w:val="ListParagraph"/>
              <w:numPr>
                <w:ilvl w:val="0"/>
                <w:numId w:val="21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 xml:space="preserve">Sra. </w:t>
            </w:r>
            <w:proofErr w:type="spellStart"/>
            <w:r w:rsidRPr="009E6627">
              <w:rPr>
                <w:szCs w:val="18"/>
              </w:rPr>
              <w:t>Iman</w:t>
            </w:r>
            <w:proofErr w:type="spellEnd"/>
            <w:r w:rsidRPr="009E6627">
              <w:rPr>
                <w:szCs w:val="18"/>
              </w:rPr>
              <w:t xml:space="preserve"> </w:t>
            </w:r>
            <w:proofErr w:type="spellStart"/>
            <w:r w:rsidRPr="009E6627">
              <w:rPr>
                <w:szCs w:val="18"/>
              </w:rPr>
              <w:t>Refaat</w:t>
            </w:r>
            <w:proofErr w:type="spellEnd"/>
            <w:r w:rsidRPr="009E6627">
              <w:rPr>
                <w:szCs w:val="18"/>
              </w:rPr>
              <w:t xml:space="preserve"> </w:t>
            </w:r>
            <w:proofErr w:type="spellStart"/>
            <w:r w:rsidRPr="009E6627">
              <w:rPr>
                <w:szCs w:val="18"/>
              </w:rPr>
              <w:t>Abdelsattr</w:t>
            </w:r>
            <w:proofErr w:type="spellEnd"/>
            <w:r w:rsidRPr="009E6627">
              <w:rPr>
                <w:szCs w:val="18"/>
              </w:rPr>
              <w:t xml:space="preserve"> NASR, Subsecretaria, </w:t>
            </w:r>
            <w:proofErr w:type="gramStart"/>
            <w:r w:rsidRPr="009E6627">
              <w:rPr>
                <w:szCs w:val="18"/>
              </w:rPr>
              <w:t>Jefa</w:t>
            </w:r>
            <w:proofErr w:type="gramEnd"/>
            <w:r w:rsidRPr="009E6627">
              <w:rPr>
                <w:szCs w:val="18"/>
              </w:rPr>
              <w:t xml:space="preserve"> del Departamento Central para los Asuntos de la OMC, Vicepresidenta del NTFC, </w:t>
            </w:r>
            <w:r w:rsidR="003A3F85" w:rsidRPr="003A3F85">
              <w:rPr>
                <w:szCs w:val="18"/>
              </w:rPr>
              <w:t>Ministerio de Inversi</w:t>
            </w:r>
            <w:r w:rsidR="003A3F85">
              <w:rPr>
                <w:szCs w:val="18"/>
              </w:rPr>
              <w:t>ones</w:t>
            </w:r>
            <w:r w:rsidR="003A3F85" w:rsidRPr="003A3F85">
              <w:rPr>
                <w:szCs w:val="18"/>
              </w:rPr>
              <w:t xml:space="preserve"> y Comercio Exterior</w:t>
            </w:r>
            <w:r w:rsidR="003A3F85" w:rsidRPr="003A3F85">
              <w:rPr>
                <w:szCs w:val="18"/>
              </w:rPr>
              <w:t xml:space="preserve"> </w:t>
            </w:r>
            <w:r w:rsidRPr="009E6627">
              <w:rPr>
                <w:szCs w:val="18"/>
              </w:rPr>
              <w:t>(Egipto)</w:t>
            </w:r>
          </w:p>
          <w:p w14:paraId="6B086901" w14:textId="77777777" w:rsidR="006A2271" w:rsidRPr="009E6627" w:rsidRDefault="006A2271" w:rsidP="006A2271">
            <w:pPr>
              <w:pStyle w:val="ListParagraph"/>
              <w:numPr>
                <w:ilvl w:val="0"/>
                <w:numId w:val="21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 xml:space="preserve">Sra. Raquel MARTÍNEZ, </w:t>
            </w:r>
            <w:proofErr w:type="gramStart"/>
            <w:r w:rsidRPr="009E6627">
              <w:rPr>
                <w:szCs w:val="18"/>
              </w:rPr>
              <w:t>Directora</w:t>
            </w:r>
            <w:proofErr w:type="gramEnd"/>
            <w:r w:rsidRPr="009E6627">
              <w:rPr>
                <w:szCs w:val="18"/>
              </w:rPr>
              <w:t xml:space="preserve"> de Política Comercial, Ministerio de Economía (El Salvador)</w:t>
            </w:r>
          </w:p>
          <w:p w14:paraId="3CB12A26" w14:textId="77777777" w:rsidR="006A2271" w:rsidRPr="009E6627" w:rsidRDefault="006A2271" w:rsidP="006A2271">
            <w:pPr>
              <w:pStyle w:val="ListParagraph"/>
              <w:numPr>
                <w:ilvl w:val="0"/>
                <w:numId w:val="21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 xml:space="preserve">Sra. </w:t>
            </w:r>
            <w:proofErr w:type="spellStart"/>
            <w:r w:rsidRPr="009E6627">
              <w:rPr>
                <w:szCs w:val="18"/>
              </w:rPr>
              <w:t>Lattanaphone</w:t>
            </w:r>
            <w:proofErr w:type="spellEnd"/>
            <w:r w:rsidRPr="009E6627">
              <w:rPr>
                <w:szCs w:val="18"/>
              </w:rPr>
              <w:t xml:space="preserve"> VONGSOUTHI, </w:t>
            </w:r>
            <w:proofErr w:type="gramStart"/>
            <w:r w:rsidRPr="009E6627">
              <w:rPr>
                <w:szCs w:val="18"/>
              </w:rPr>
              <w:t>Directora</w:t>
            </w:r>
            <w:proofErr w:type="gramEnd"/>
            <w:r w:rsidRPr="009E6627">
              <w:rPr>
                <w:szCs w:val="18"/>
              </w:rPr>
              <w:t xml:space="preserve"> de la NIU, Oficina del Secretario Permanente, Ministerio de Industria y Comercio (República Democrática Popular Lao)</w:t>
            </w:r>
          </w:p>
          <w:p w14:paraId="73AAC519" w14:textId="77777777" w:rsidR="006A2271" w:rsidRPr="009E6627" w:rsidRDefault="006A2271" w:rsidP="006A2271">
            <w:pPr>
              <w:pStyle w:val="ListParagraph"/>
              <w:numPr>
                <w:ilvl w:val="0"/>
                <w:numId w:val="21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 xml:space="preserve">Sr. Gobinda </w:t>
            </w:r>
            <w:proofErr w:type="spellStart"/>
            <w:r w:rsidRPr="009E6627">
              <w:rPr>
                <w:szCs w:val="18"/>
              </w:rPr>
              <w:t>Bahadur</w:t>
            </w:r>
            <w:proofErr w:type="spellEnd"/>
            <w:r w:rsidRPr="009E6627">
              <w:rPr>
                <w:szCs w:val="18"/>
              </w:rPr>
              <w:t xml:space="preserve"> KARKEE, </w:t>
            </w:r>
            <w:proofErr w:type="gramStart"/>
            <w:r w:rsidRPr="009E6627">
              <w:rPr>
                <w:szCs w:val="18"/>
              </w:rPr>
              <w:t>Secretario</w:t>
            </w:r>
            <w:proofErr w:type="gramEnd"/>
            <w:r w:rsidRPr="009E6627">
              <w:rPr>
                <w:szCs w:val="18"/>
              </w:rPr>
              <w:t xml:space="preserve"> (Comercio y Suministros), Ministerio de Industria, Comercio y Suministros (Nepal)</w:t>
            </w:r>
          </w:p>
          <w:p w14:paraId="7958535A" w14:textId="77777777" w:rsidR="006A2271" w:rsidRPr="009C3588" w:rsidRDefault="006A2271" w:rsidP="006A2271">
            <w:pPr>
              <w:pStyle w:val="ListParagraph"/>
              <w:numPr>
                <w:ilvl w:val="0"/>
                <w:numId w:val="21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Sr. Paul RUHAMYA, Misión de USAID, Kigali (Rwanda)</w:t>
            </w:r>
          </w:p>
        </w:tc>
      </w:tr>
      <w:tr w:rsidR="006A2271" w:rsidRPr="009C3588" w14:paraId="53068D36" w14:textId="77777777" w:rsidTr="003A0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5000" w:type="pct"/>
            <w:gridSpan w:val="2"/>
          </w:tcPr>
          <w:p w14:paraId="4C2F70C8" w14:textId="77777777" w:rsidR="006A2271" w:rsidRPr="009C3588" w:rsidRDefault="006A2271" w:rsidP="003A0705">
            <w:pPr>
              <w:spacing w:before="60" w:after="60"/>
              <w:jc w:val="center"/>
              <w:rPr>
                <w:b/>
                <w:bCs/>
                <w:szCs w:val="18"/>
              </w:rPr>
            </w:pPr>
            <w:r w:rsidRPr="009E6627">
              <w:rPr>
                <w:szCs w:val="18"/>
              </w:rPr>
              <w:lastRenderedPageBreak/>
              <w:t>Pausa para el almuerzo (13 - 15 h)</w:t>
            </w:r>
          </w:p>
        </w:tc>
      </w:tr>
      <w:tr w:rsidR="006A2271" w:rsidRPr="009C3588" w14:paraId="65CF77A1" w14:textId="77777777" w:rsidTr="003A0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1019" w:type="pct"/>
          </w:tcPr>
          <w:p w14:paraId="3D642151" w14:textId="77777777" w:rsidR="006A2271" w:rsidRPr="009E6627" w:rsidRDefault="006A2271" w:rsidP="003A0705">
            <w:pPr>
              <w:spacing w:before="60" w:after="60"/>
              <w:jc w:val="left"/>
              <w:rPr>
                <w:b/>
                <w:bCs/>
                <w:color w:val="1F497D" w:themeColor="text2"/>
                <w:szCs w:val="18"/>
              </w:rPr>
            </w:pPr>
            <w:r w:rsidRPr="009E6627">
              <w:rPr>
                <w:b/>
                <w:color w:val="1F497D" w:themeColor="text2"/>
                <w:szCs w:val="18"/>
              </w:rPr>
              <w:t>15 -</w:t>
            </w:r>
            <w:r>
              <w:rPr>
                <w:b/>
                <w:color w:val="1F497D" w:themeColor="text2"/>
                <w:szCs w:val="18"/>
              </w:rPr>
              <w:t xml:space="preserve"> </w:t>
            </w:r>
            <w:r w:rsidRPr="009E6627">
              <w:rPr>
                <w:b/>
                <w:color w:val="1F497D" w:themeColor="text2"/>
                <w:szCs w:val="18"/>
              </w:rPr>
              <w:t>16.30 h</w:t>
            </w:r>
          </w:p>
          <w:p w14:paraId="455EEBF4" w14:textId="77777777" w:rsidR="006A2271" w:rsidRPr="009C3588" w:rsidRDefault="006A2271" w:rsidP="003A0705">
            <w:pPr>
              <w:spacing w:before="60" w:after="60"/>
              <w:jc w:val="left"/>
              <w:rPr>
                <w:b/>
                <w:bCs/>
                <w:szCs w:val="18"/>
              </w:rPr>
            </w:pPr>
            <w:r w:rsidRPr="009E6627">
              <w:rPr>
                <w:color w:val="1F497D" w:themeColor="text2"/>
                <w:szCs w:val="18"/>
              </w:rPr>
              <w:t>(90 minutos)</w:t>
            </w:r>
          </w:p>
        </w:tc>
        <w:tc>
          <w:tcPr>
            <w:tcW w:w="3981" w:type="pct"/>
          </w:tcPr>
          <w:p w14:paraId="658ECD13" w14:textId="77777777" w:rsidR="006A2271" w:rsidRPr="009E6627" w:rsidRDefault="006A2271" w:rsidP="003A0705">
            <w:pPr>
              <w:spacing w:before="60" w:after="120"/>
              <w:jc w:val="left"/>
              <w:rPr>
                <w:b/>
                <w:color w:val="1F497D" w:themeColor="text2"/>
                <w:szCs w:val="18"/>
              </w:rPr>
            </w:pPr>
            <w:r w:rsidRPr="009E6627">
              <w:rPr>
                <w:b/>
                <w:color w:val="1F497D" w:themeColor="text2"/>
                <w:szCs w:val="18"/>
              </w:rPr>
              <w:t>Debate II: Cómo movilizar la asistencia técnica y la creación de capacidad para lograr una reforma sostenida</w:t>
            </w:r>
          </w:p>
          <w:p w14:paraId="325E3F26" w14:textId="77777777" w:rsidR="006A2271" w:rsidRPr="009E6627" w:rsidRDefault="006A2271" w:rsidP="003A0705">
            <w:pPr>
              <w:spacing w:after="120"/>
              <w:jc w:val="left"/>
              <w:rPr>
                <w:i/>
                <w:iCs/>
                <w:szCs w:val="18"/>
              </w:rPr>
            </w:pPr>
            <w:r w:rsidRPr="009E6627">
              <w:rPr>
                <w:i/>
                <w:szCs w:val="18"/>
              </w:rPr>
              <w:t>Mesa redonda con los Miembros donantes para escuchar sus opiniones sobre los factores necesarios a fin de asegurar la prestación de asistencia técnica y apoyo para la creación de capacidad, seguida de reflexiones desde el punto de vista del desarrollo y experiencias en cuanto a la prestación de ese apoyo. Un moderador dirigirá el debate de la siguiente manera:</w:t>
            </w:r>
          </w:p>
          <w:p w14:paraId="64A96833" w14:textId="77777777" w:rsidR="006A2271" w:rsidRPr="009E6627" w:rsidRDefault="006A2271" w:rsidP="006A2271">
            <w:pPr>
              <w:pStyle w:val="ListParagraph"/>
              <w:numPr>
                <w:ilvl w:val="0"/>
                <w:numId w:val="20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Debate de expertos sobre los procesos que los Miembros deben tener en cuenta al solicitar asistencia técnica y apoyo para la creación de capacidad, así como sobre las experiencias relativas a su prestación, con ejemplos de lo que ha servido y lo que no ha servido a fin de asegurar este tipo de apoyo (4</w:t>
            </w:r>
            <w:r>
              <w:rPr>
                <w:szCs w:val="18"/>
              </w:rPr>
              <w:t>0</w:t>
            </w:r>
            <w:r w:rsidRPr="009E6627">
              <w:rPr>
                <w:szCs w:val="18"/>
              </w:rPr>
              <w:t> minutos; 4 panelistas)</w:t>
            </w:r>
          </w:p>
          <w:p w14:paraId="520F4CBC" w14:textId="77777777" w:rsidR="006A2271" w:rsidRPr="009E6627" w:rsidRDefault="006A2271" w:rsidP="006A2271">
            <w:pPr>
              <w:pStyle w:val="ListParagraph"/>
              <w:numPr>
                <w:ilvl w:val="0"/>
                <w:numId w:val="20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Reflexiones desde el punto de vista del desarrollo y experiencias en cuanto a la prestación de asistencia técnica y apoyo para la creación de capacidad (2</w:t>
            </w:r>
            <w:r>
              <w:rPr>
                <w:szCs w:val="18"/>
              </w:rPr>
              <w:t>5</w:t>
            </w:r>
            <w:r w:rsidRPr="009E6627">
              <w:rPr>
                <w:szCs w:val="18"/>
              </w:rPr>
              <w:t xml:space="preserve"> minutos; </w:t>
            </w:r>
            <w:r>
              <w:rPr>
                <w:szCs w:val="18"/>
              </w:rPr>
              <w:t>3</w:t>
            </w:r>
            <w:r w:rsidRPr="009E6627">
              <w:rPr>
                <w:szCs w:val="18"/>
              </w:rPr>
              <w:t> analistas)</w:t>
            </w:r>
          </w:p>
          <w:p w14:paraId="2FFFAAD4" w14:textId="77777777" w:rsidR="006A2271" w:rsidRPr="009E6627" w:rsidRDefault="006A2271" w:rsidP="006A2271">
            <w:pPr>
              <w:pStyle w:val="ListParagraph"/>
              <w:numPr>
                <w:ilvl w:val="0"/>
                <w:numId w:val="20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Ronda de preguntas y respuestas con el público (15 minutos)</w:t>
            </w:r>
            <w:r w:rsidRPr="009E6627">
              <w:rPr>
                <w:i/>
                <w:color w:val="C00000"/>
                <w:szCs w:val="18"/>
              </w:rPr>
              <w:t xml:space="preserve"> </w:t>
            </w:r>
          </w:p>
          <w:p w14:paraId="7E495B62" w14:textId="77777777" w:rsidR="006A2271" w:rsidRPr="009E6627" w:rsidRDefault="006A2271" w:rsidP="006A2271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Observaciones finales del moderador, los panelistas y los analistas (10 minutos)</w:t>
            </w:r>
          </w:p>
          <w:p w14:paraId="5F43ACAB" w14:textId="77777777" w:rsidR="006A2271" w:rsidRPr="009E6627" w:rsidRDefault="006A2271" w:rsidP="003A0705">
            <w:pPr>
              <w:spacing w:after="12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Moderador: Excmo. Sr. Embajador Adamu Mohammed ABDULHAMID (Nigeria)</w:t>
            </w:r>
          </w:p>
          <w:p w14:paraId="424415E1" w14:textId="77777777" w:rsidR="006A2271" w:rsidRPr="009E6627" w:rsidRDefault="006A2271" w:rsidP="003A0705">
            <w:pPr>
              <w:spacing w:after="12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Panelistas:</w:t>
            </w:r>
          </w:p>
          <w:p w14:paraId="490838F2" w14:textId="77777777" w:rsidR="006A2271" w:rsidRPr="009E6627" w:rsidRDefault="006A2271" w:rsidP="006A2271">
            <w:pPr>
              <w:pStyle w:val="ListParagraph"/>
              <w:numPr>
                <w:ilvl w:val="0"/>
                <w:numId w:val="22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 xml:space="preserve">Sr. Martijn BOELEN, </w:t>
            </w:r>
            <w:proofErr w:type="gramStart"/>
            <w:r w:rsidRPr="009E6627">
              <w:rPr>
                <w:szCs w:val="18"/>
              </w:rPr>
              <w:t>Jefe</w:t>
            </w:r>
            <w:proofErr w:type="gramEnd"/>
            <w:r w:rsidRPr="009E6627">
              <w:rPr>
                <w:szCs w:val="18"/>
              </w:rPr>
              <w:t xml:space="preserve"> de Sector de Comercio de la Dirección General de Asociaciones Internacionales, Unión Europea</w:t>
            </w:r>
          </w:p>
          <w:p w14:paraId="5B7D7E72" w14:textId="77777777" w:rsidR="006A2271" w:rsidRPr="009E6627" w:rsidRDefault="006A2271" w:rsidP="006A2271">
            <w:pPr>
              <w:pStyle w:val="ListParagraph"/>
              <w:numPr>
                <w:ilvl w:val="0"/>
                <w:numId w:val="22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color w:val="111619"/>
                <w:szCs w:val="18"/>
              </w:rPr>
              <w:t>Sra. Andrea ULBRICH, Oficial Superior de Políticas, Ministerio de Cooperación y Desarrollo Económicos (Alemania)</w:t>
            </w:r>
          </w:p>
          <w:p w14:paraId="7868AFC8" w14:textId="77777777" w:rsidR="006A2271" w:rsidRPr="007C5EF7" w:rsidRDefault="006A2271" w:rsidP="006A2271">
            <w:pPr>
              <w:pStyle w:val="ListParagraph"/>
              <w:numPr>
                <w:ilvl w:val="0"/>
                <w:numId w:val="22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7C5EF7">
              <w:rPr>
                <w:szCs w:val="18"/>
              </w:rPr>
              <w:t>Sra. Helena KERR,</w:t>
            </w:r>
            <w:r>
              <w:rPr>
                <w:szCs w:val="18"/>
              </w:rPr>
              <w:t xml:space="preserve"> </w:t>
            </w:r>
            <w:proofErr w:type="gramStart"/>
            <w:r w:rsidRPr="007C5EF7">
              <w:rPr>
                <w:szCs w:val="18"/>
              </w:rPr>
              <w:t>Responsable</w:t>
            </w:r>
            <w:proofErr w:type="gramEnd"/>
            <w:r w:rsidRPr="007C5EF7">
              <w:rPr>
                <w:szCs w:val="18"/>
              </w:rPr>
              <w:t xml:space="preserve"> de Desarrollo de Capacidades Internacionales, HM </w:t>
            </w:r>
            <w:proofErr w:type="spellStart"/>
            <w:r w:rsidRPr="007C5EF7">
              <w:rPr>
                <w:szCs w:val="18"/>
              </w:rPr>
              <w:t>Revenue</w:t>
            </w:r>
            <w:proofErr w:type="spellEnd"/>
            <w:r w:rsidRPr="007C5EF7">
              <w:rPr>
                <w:szCs w:val="18"/>
              </w:rPr>
              <w:t xml:space="preserve"> &amp; Customs (Reino Unido</w:t>
            </w:r>
            <w:r>
              <w:rPr>
                <w:szCs w:val="18"/>
              </w:rPr>
              <w:t>)</w:t>
            </w:r>
          </w:p>
          <w:p w14:paraId="632C79B9" w14:textId="77777777" w:rsidR="006A2271" w:rsidRPr="009E6627" w:rsidRDefault="006A2271" w:rsidP="006A2271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 xml:space="preserve">Sr. Paul FEKETE, </w:t>
            </w:r>
            <w:proofErr w:type="gramStart"/>
            <w:r w:rsidRPr="009E6627">
              <w:rPr>
                <w:szCs w:val="18"/>
              </w:rPr>
              <w:t>Consejero</w:t>
            </w:r>
            <w:proofErr w:type="gramEnd"/>
            <w:r w:rsidRPr="009E6627">
              <w:rPr>
                <w:szCs w:val="18"/>
              </w:rPr>
              <w:t xml:space="preserve"> Superior de Comercio Internacional, USAID (Estados Unidos)</w:t>
            </w:r>
          </w:p>
          <w:p w14:paraId="3C46A7F7" w14:textId="77777777" w:rsidR="006A2271" w:rsidRPr="009E6627" w:rsidRDefault="006A2271" w:rsidP="003A0705">
            <w:pPr>
              <w:keepNext/>
              <w:keepLines/>
              <w:spacing w:after="12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lastRenderedPageBreak/>
              <w:t>Analistas:</w:t>
            </w:r>
          </w:p>
          <w:p w14:paraId="7DA68EEF" w14:textId="77777777" w:rsidR="006A2271" w:rsidRPr="009E6627" w:rsidRDefault="006A2271" w:rsidP="006A2271">
            <w:pPr>
              <w:pStyle w:val="ListParagraph"/>
              <w:keepNext/>
              <w:keepLines/>
              <w:numPr>
                <w:ilvl w:val="0"/>
                <w:numId w:val="23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 xml:space="preserve">Sra. HUANG </w:t>
            </w:r>
            <w:proofErr w:type="spellStart"/>
            <w:r w:rsidRPr="009E6627">
              <w:rPr>
                <w:szCs w:val="18"/>
              </w:rPr>
              <w:t>Sha</w:t>
            </w:r>
            <w:proofErr w:type="spellEnd"/>
            <w:r w:rsidRPr="009E6627">
              <w:rPr>
                <w:szCs w:val="18"/>
              </w:rPr>
              <w:t>, Superintendente de Aduanas, Administración General de Aduanas de China</w:t>
            </w:r>
          </w:p>
          <w:p w14:paraId="79C66FB7" w14:textId="77777777" w:rsidR="006A2271" w:rsidRDefault="006A2271" w:rsidP="006A2271">
            <w:pPr>
              <w:pStyle w:val="ListParagraph"/>
              <w:keepNext/>
              <w:keepLines/>
              <w:numPr>
                <w:ilvl w:val="0"/>
                <w:numId w:val="23"/>
              </w:numPr>
              <w:spacing w:after="12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 xml:space="preserve">Sr. </w:t>
            </w:r>
            <w:proofErr w:type="spellStart"/>
            <w:r w:rsidRPr="009E6627">
              <w:rPr>
                <w:szCs w:val="18"/>
              </w:rPr>
              <w:t>Assiènin</w:t>
            </w:r>
            <w:proofErr w:type="spellEnd"/>
            <w:r w:rsidRPr="009E6627">
              <w:rPr>
                <w:szCs w:val="18"/>
              </w:rPr>
              <w:t xml:space="preserve"> </w:t>
            </w:r>
            <w:proofErr w:type="spellStart"/>
            <w:r w:rsidRPr="009E6627">
              <w:rPr>
                <w:szCs w:val="18"/>
              </w:rPr>
              <w:t>Felix</w:t>
            </w:r>
            <w:proofErr w:type="spellEnd"/>
            <w:r w:rsidRPr="009E6627">
              <w:rPr>
                <w:szCs w:val="18"/>
              </w:rPr>
              <w:t xml:space="preserve"> KOUAKOU, </w:t>
            </w:r>
            <w:proofErr w:type="gramStart"/>
            <w:r w:rsidRPr="009E6627">
              <w:rPr>
                <w:szCs w:val="18"/>
              </w:rPr>
              <w:t>Director</w:t>
            </w:r>
            <w:proofErr w:type="gramEnd"/>
            <w:r w:rsidRPr="009E6627">
              <w:rPr>
                <w:szCs w:val="18"/>
              </w:rPr>
              <w:t xml:space="preserve"> Adjunto de Apoyo a las Negociaciones y la Promoción de Acuerdos Comerciales, Ministerio de Comercio e Industria (Côte d'Ivoire)</w:t>
            </w:r>
          </w:p>
          <w:p w14:paraId="4CB8BA4A" w14:textId="77777777" w:rsidR="006A2271" w:rsidRPr="009C3588" w:rsidRDefault="006A2271" w:rsidP="006A2271">
            <w:pPr>
              <w:pStyle w:val="ListParagraph"/>
              <w:numPr>
                <w:ilvl w:val="0"/>
                <w:numId w:val="23"/>
              </w:numPr>
              <w:spacing w:after="240"/>
              <w:ind w:left="714" w:hanging="357"/>
              <w:contextualSpacing w:val="0"/>
              <w:jc w:val="left"/>
              <w:rPr>
                <w:szCs w:val="18"/>
              </w:rPr>
            </w:pPr>
            <w:r w:rsidRPr="007C5EF7">
              <w:rPr>
                <w:szCs w:val="18"/>
              </w:rPr>
              <w:t>Sr. Christian ANCHALUISA, Misión Permanente de Ecuador [por confirmar]</w:t>
            </w:r>
          </w:p>
        </w:tc>
      </w:tr>
      <w:tr w:rsidR="006A2271" w:rsidRPr="009E6627" w14:paraId="44064ECC" w14:textId="77777777" w:rsidTr="003A0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1019" w:type="pct"/>
          </w:tcPr>
          <w:p w14:paraId="632D5804" w14:textId="77777777" w:rsidR="006A2271" w:rsidRPr="009E6627" w:rsidRDefault="006A2271" w:rsidP="003A0705">
            <w:pPr>
              <w:keepNext/>
              <w:keepLines/>
              <w:spacing w:before="60" w:after="60"/>
              <w:jc w:val="left"/>
              <w:rPr>
                <w:b/>
                <w:bCs/>
                <w:color w:val="1F497D" w:themeColor="text2"/>
                <w:szCs w:val="18"/>
              </w:rPr>
            </w:pPr>
            <w:r w:rsidRPr="009E6627">
              <w:rPr>
                <w:b/>
                <w:color w:val="1F497D" w:themeColor="text2"/>
                <w:szCs w:val="18"/>
              </w:rPr>
              <w:lastRenderedPageBreak/>
              <w:t>16.30 –17 h</w:t>
            </w:r>
          </w:p>
          <w:p w14:paraId="5D968D4F" w14:textId="77777777" w:rsidR="006A2271" w:rsidRPr="009C3588" w:rsidRDefault="006A2271" w:rsidP="003A0705">
            <w:pPr>
              <w:keepNext/>
              <w:keepLines/>
              <w:spacing w:before="60" w:after="60"/>
              <w:jc w:val="left"/>
              <w:rPr>
                <w:b/>
                <w:bCs/>
                <w:szCs w:val="18"/>
              </w:rPr>
            </w:pPr>
            <w:r w:rsidRPr="009E6627">
              <w:rPr>
                <w:color w:val="1F497D" w:themeColor="text2"/>
                <w:szCs w:val="18"/>
              </w:rPr>
              <w:t>(30 minutos)</w:t>
            </w:r>
          </w:p>
        </w:tc>
        <w:tc>
          <w:tcPr>
            <w:tcW w:w="3981" w:type="pct"/>
          </w:tcPr>
          <w:p w14:paraId="73B7F333" w14:textId="77777777" w:rsidR="006A2271" w:rsidRPr="009E6627" w:rsidRDefault="006A2271" w:rsidP="003A0705">
            <w:pPr>
              <w:keepNext/>
              <w:keepLines/>
              <w:spacing w:before="60" w:after="120"/>
              <w:jc w:val="left"/>
              <w:rPr>
                <w:b/>
                <w:color w:val="1F497D" w:themeColor="text2"/>
                <w:szCs w:val="18"/>
              </w:rPr>
            </w:pPr>
            <w:r w:rsidRPr="009E6627">
              <w:rPr>
                <w:b/>
                <w:color w:val="1F497D" w:themeColor="text2"/>
                <w:szCs w:val="18"/>
              </w:rPr>
              <w:t>Sesión de recapitulación</w:t>
            </w:r>
          </w:p>
          <w:p w14:paraId="72F9F41E" w14:textId="77777777" w:rsidR="006A2271" w:rsidRPr="009E6627" w:rsidRDefault="006A2271" w:rsidP="003A0705">
            <w:pPr>
              <w:keepNext/>
              <w:keepLines/>
              <w:spacing w:before="60" w:after="120"/>
              <w:jc w:val="left"/>
              <w:rPr>
                <w:i/>
                <w:iCs/>
                <w:szCs w:val="18"/>
              </w:rPr>
            </w:pPr>
            <w:r w:rsidRPr="009E6627">
              <w:rPr>
                <w:i/>
                <w:szCs w:val="18"/>
              </w:rPr>
              <w:t>Oportunidad para que los Miembros reflexionen sobre las enseñanzas extraídas y la manera de avanzar en la esfera de la prestación de asistencia técnica y creación de capacidad:</w:t>
            </w:r>
          </w:p>
          <w:p w14:paraId="7A172831" w14:textId="77777777" w:rsidR="006A2271" w:rsidRPr="009E6627" w:rsidRDefault="006A2271" w:rsidP="006A2271">
            <w:pPr>
              <w:pStyle w:val="ListParagraph"/>
              <w:keepNext/>
              <w:keepLines/>
              <w:numPr>
                <w:ilvl w:val="0"/>
                <w:numId w:val="20"/>
              </w:numPr>
              <w:spacing w:after="6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 xml:space="preserve">Observaciones de la </w:t>
            </w:r>
            <w:proofErr w:type="gramStart"/>
            <w:r w:rsidRPr="009E6627">
              <w:rPr>
                <w:szCs w:val="18"/>
              </w:rPr>
              <w:t>Presidenta</w:t>
            </w:r>
            <w:proofErr w:type="gramEnd"/>
            <w:r w:rsidRPr="009E6627">
              <w:rPr>
                <w:szCs w:val="18"/>
              </w:rPr>
              <w:t xml:space="preserve"> del Comité (10 minutos)</w:t>
            </w:r>
          </w:p>
          <w:p w14:paraId="656DE565" w14:textId="77777777" w:rsidR="006A2271" w:rsidRPr="009E6627" w:rsidRDefault="006A2271" w:rsidP="006A2271">
            <w:pPr>
              <w:pStyle w:val="ListParagraph"/>
              <w:keepNext/>
              <w:keepLines/>
              <w:numPr>
                <w:ilvl w:val="0"/>
                <w:numId w:val="20"/>
              </w:numPr>
              <w:spacing w:after="240"/>
              <w:ind w:left="714" w:hanging="357"/>
              <w:contextualSpacing w:val="0"/>
              <w:jc w:val="left"/>
              <w:rPr>
                <w:szCs w:val="18"/>
              </w:rPr>
            </w:pPr>
            <w:r w:rsidRPr="009E6627">
              <w:rPr>
                <w:szCs w:val="18"/>
              </w:rPr>
              <w:t>Turno de palabra para que los participantes formulen observaciones (20 minutos)</w:t>
            </w:r>
          </w:p>
        </w:tc>
      </w:tr>
    </w:tbl>
    <w:p w14:paraId="4109D2A8" w14:textId="77777777" w:rsidR="006A2271" w:rsidRDefault="006A2271" w:rsidP="006A2271"/>
    <w:p w14:paraId="30E35C1C" w14:textId="77777777" w:rsidR="006A2271" w:rsidRDefault="006A2271" w:rsidP="006A2271"/>
    <w:p w14:paraId="1D51794A" w14:textId="77777777" w:rsidR="006A2271" w:rsidRPr="009E6627" w:rsidRDefault="006A2271" w:rsidP="006A2271">
      <w:pPr>
        <w:jc w:val="center"/>
      </w:pPr>
      <w:r w:rsidRPr="009E6627">
        <w:rPr>
          <w:b/>
        </w:rPr>
        <w:t>__________</w:t>
      </w:r>
    </w:p>
    <w:p w14:paraId="7A5D7356" w14:textId="77777777" w:rsidR="00850889" w:rsidRPr="00B415B8" w:rsidRDefault="00850889" w:rsidP="00182A75"/>
    <w:sectPr w:rsidR="00850889" w:rsidRPr="00B415B8" w:rsidSect="006A2271">
      <w:headerReference w:type="default" r:id="rId7"/>
      <w:footerReference w:type="default" r:id="rId8"/>
      <w:headerReference w:type="first" r:id="rId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D19C" w14:textId="77777777" w:rsidR="006A2271" w:rsidRDefault="006A2271" w:rsidP="00ED54E0">
      <w:r>
        <w:separator/>
      </w:r>
    </w:p>
  </w:endnote>
  <w:endnote w:type="continuationSeparator" w:id="0">
    <w:p w14:paraId="1675D614" w14:textId="77777777" w:rsidR="006A2271" w:rsidRDefault="006A2271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D4A1" w14:textId="417F5D12" w:rsidR="006A2271" w:rsidRDefault="006A2271">
    <w:pPr>
      <w:pStyle w:val="Footer"/>
      <w:jc w:val="center"/>
    </w:pPr>
    <w:r>
      <w:t xml:space="preserve">- </w:t>
    </w:r>
    <w:sdt>
      <w:sdtPr>
        <w:id w:val="-9113860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14:paraId="71A653EC" w14:textId="77777777" w:rsidR="006A2271" w:rsidRDefault="006A2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A353" w14:textId="77777777" w:rsidR="006A2271" w:rsidRDefault="006A2271" w:rsidP="00ED54E0">
      <w:r>
        <w:separator/>
      </w:r>
    </w:p>
  </w:footnote>
  <w:footnote w:type="continuationSeparator" w:id="0">
    <w:p w14:paraId="68AB3ED7" w14:textId="77777777" w:rsidR="006A2271" w:rsidRDefault="006A2271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9F7C" w14:textId="2422A12C" w:rsidR="00A6787A" w:rsidRDefault="006A22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8DD26D" wp14:editId="5C7D7723">
          <wp:simplePos x="0" y="0"/>
          <wp:positionH relativeFrom="column">
            <wp:posOffset>2609850</wp:posOffset>
          </wp:positionH>
          <wp:positionV relativeFrom="paragraph">
            <wp:posOffset>-273050</wp:posOffset>
          </wp:positionV>
          <wp:extent cx="657225" cy="828675"/>
          <wp:effectExtent l="0" t="0" r="9525" b="9525"/>
          <wp:wrapSquare wrapText="bothSides"/>
          <wp:docPr id="954534790" name="Picture 95453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DA83" w14:textId="4B0DF23B" w:rsidR="006A2271" w:rsidRDefault="006A2271" w:rsidP="006A2271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129906" wp14:editId="3AC9C7CD">
          <wp:simplePos x="0" y="0"/>
          <wp:positionH relativeFrom="column">
            <wp:posOffset>2540000</wp:posOffset>
          </wp:positionH>
          <wp:positionV relativeFrom="paragraph">
            <wp:posOffset>-279400</wp:posOffset>
          </wp:positionV>
          <wp:extent cx="657225" cy="828675"/>
          <wp:effectExtent l="0" t="0" r="9525" b="9525"/>
          <wp:wrapSquare wrapText="bothSides"/>
          <wp:docPr id="655850103" name="Picture 6558501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A1583"/>
    <w:multiLevelType w:val="hybridMultilevel"/>
    <w:tmpl w:val="E362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7A97"/>
    <w:multiLevelType w:val="hybridMultilevel"/>
    <w:tmpl w:val="966E7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E36FD"/>
    <w:multiLevelType w:val="hybridMultilevel"/>
    <w:tmpl w:val="AC0CC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836C7"/>
    <w:multiLevelType w:val="hybridMultilevel"/>
    <w:tmpl w:val="64CC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7" w15:restartNumberingAfterBreak="0">
    <w:nsid w:val="57454AB1"/>
    <w:multiLevelType w:val="multilevel"/>
    <w:tmpl w:val="CC52177C"/>
    <w:numStyleLink w:val="LegalHeadings"/>
  </w:abstractNum>
  <w:abstractNum w:abstractNumId="18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9" w15:restartNumberingAfterBreak="0">
    <w:nsid w:val="5CF32EB0"/>
    <w:multiLevelType w:val="hybridMultilevel"/>
    <w:tmpl w:val="7E120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8"/>
  </w:num>
  <w:num w:numId="7" w16cid:durableId="1295865260">
    <w:abstractNumId w:val="17"/>
  </w:num>
  <w:num w:numId="8" w16cid:durableId="805586851">
    <w:abstractNumId w:val="16"/>
  </w:num>
  <w:num w:numId="9" w16cid:durableId="1389575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20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6"/>
  </w:num>
  <w:num w:numId="18" w16cid:durableId="1077674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866482">
    <w:abstractNumId w:val="13"/>
  </w:num>
  <w:num w:numId="20" w16cid:durableId="1447579719">
    <w:abstractNumId w:val="11"/>
  </w:num>
  <w:num w:numId="21" w16cid:durableId="1033503972">
    <w:abstractNumId w:val="19"/>
  </w:num>
  <w:num w:numId="22" w16cid:durableId="1834687627">
    <w:abstractNumId w:val="15"/>
  </w:num>
  <w:num w:numId="23" w16cid:durableId="21201727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71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572B4"/>
    <w:rsid w:val="003616BF"/>
    <w:rsid w:val="00371F2B"/>
    <w:rsid w:val="00383F10"/>
    <w:rsid w:val="003A3F85"/>
    <w:rsid w:val="004551EC"/>
    <w:rsid w:val="00467032"/>
    <w:rsid w:val="0046754A"/>
    <w:rsid w:val="004A31FF"/>
    <w:rsid w:val="004F203A"/>
    <w:rsid w:val="00512FF5"/>
    <w:rsid w:val="005336B8"/>
    <w:rsid w:val="005917B1"/>
    <w:rsid w:val="005B04B9"/>
    <w:rsid w:val="005B68C7"/>
    <w:rsid w:val="005B7054"/>
    <w:rsid w:val="005D0152"/>
    <w:rsid w:val="005D5981"/>
    <w:rsid w:val="005F30CB"/>
    <w:rsid w:val="00612644"/>
    <w:rsid w:val="00674CCD"/>
    <w:rsid w:val="006A18DC"/>
    <w:rsid w:val="006A2271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05056"/>
    <w:rsid w:val="00E46FD5"/>
    <w:rsid w:val="00E544BB"/>
    <w:rsid w:val="00E56545"/>
    <w:rsid w:val="00E85004"/>
    <w:rsid w:val="00EA5D4F"/>
    <w:rsid w:val="00EB6C56"/>
    <w:rsid w:val="00EB6F21"/>
    <w:rsid w:val="00ED54E0"/>
    <w:rsid w:val="00F01C13"/>
    <w:rsid w:val="00F32397"/>
    <w:rsid w:val="00F40595"/>
    <w:rsid w:val="00FA5EBC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6315D"/>
  <w15:chartTrackingRefBased/>
  <w15:docId w15:val="{9F19ED58-32EF-42DF-8B74-97F7A9BA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271"/>
    <w:pPr>
      <w:spacing w:after="0" w:line="240" w:lineRule="auto"/>
      <w:jc w:val="both"/>
    </w:pPr>
    <w:rPr>
      <w:rFonts w:ascii="Verdana" w:eastAsia="SimSun" w:hAnsi="Verdana" w:cs="Times New Roman"/>
      <w:sz w:val="18"/>
      <w:lang w:val="es-ES" w:eastAsia="zh-CN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833</Words>
  <Characters>4750</Characters>
  <Application>Microsoft Office Word</Application>
  <DocSecurity>0</DocSecurity>
  <Lines>39</Lines>
  <Paragraphs>11</Paragraphs>
  <ScaleCrop>false</ScaleCrop>
  <Company>WTO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Bernard, Tina</dc:creator>
  <cp:keywords/>
  <dc:description/>
  <cp:lastModifiedBy>Alvarez de Cozar, Maria</cp:lastModifiedBy>
  <cp:revision>3</cp:revision>
  <dcterms:created xsi:type="dcterms:W3CDTF">2024-10-11T16:00:00Z</dcterms:created>
  <dcterms:modified xsi:type="dcterms:W3CDTF">2024-10-21T10:02:00Z</dcterms:modified>
</cp:coreProperties>
</file>