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D53" w:rsidRPr="002A1C6A" w:rsidRDefault="008B3D53" w:rsidP="009B4FE2">
      <w:pPr>
        <w:pStyle w:val="ListParagraph"/>
        <w:spacing w:before="100" w:beforeAutospacing="1" w:after="100" w:afterAutospacing="1" w:line="240" w:lineRule="auto"/>
        <w:rPr>
          <w:rFonts w:ascii="Times New Roman" w:hAnsi="Times New Roman" w:cs="Times New Roman"/>
          <w:b/>
          <w:color w:val="000000" w:themeColor="text1"/>
          <w:sz w:val="24"/>
          <w:szCs w:val="24"/>
        </w:rPr>
      </w:pPr>
      <w:r w:rsidRPr="002A1C6A">
        <w:rPr>
          <w:rFonts w:ascii="Times New Roman" w:hAnsi="Times New Roman" w:cs="Times New Roman"/>
          <w:b/>
          <w:color w:val="000000" w:themeColor="text1"/>
          <w:sz w:val="24"/>
          <w:szCs w:val="24"/>
        </w:rPr>
        <w:t>DEDICATED SESSION ON ASSISTANCE AND CAPACITY BUILDING</w:t>
      </w:r>
    </w:p>
    <w:p w:rsidR="00E46B80" w:rsidRPr="002A1C6A" w:rsidRDefault="00E46B80" w:rsidP="009B4FE2">
      <w:pPr>
        <w:pStyle w:val="ListParagraph"/>
        <w:spacing w:before="100" w:beforeAutospacing="1" w:after="100" w:afterAutospacing="1" w:line="240" w:lineRule="auto"/>
        <w:jc w:val="center"/>
        <w:rPr>
          <w:rFonts w:ascii="Times New Roman" w:hAnsi="Times New Roman" w:cs="Times New Roman"/>
          <w:b/>
          <w:color w:val="000000" w:themeColor="text1"/>
          <w:sz w:val="24"/>
          <w:szCs w:val="24"/>
        </w:rPr>
      </w:pPr>
      <w:r w:rsidRPr="002A1C6A">
        <w:rPr>
          <w:rFonts w:ascii="Times New Roman" w:hAnsi="Times New Roman" w:cs="Times New Roman"/>
          <w:b/>
          <w:color w:val="000000" w:themeColor="text1"/>
          <w:sz w:val="24"/>
          <w:szCs w:val="24"/>
        </w:rPr>
        <w:t>WTO Trade Facilitation Committee, 21 October 2020</w:t>
      </w:r>
    </w:p>
    <w:p w:rsidR="008B3D53" w:rsidRPr="002A1C6A" w:rsidRDefault="008B3D53" w:rsidP="009B4FE2">
      <w:p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Trade facilitation and the integration of partner countries into the global rule-based trading system play a critical role in EU development cooperation on Aid for Trade.</w:t>
      </w:r>
    </w:p>
    <w:p w:rsidR="008B3D53" w:rsidRPr="002A1C6A" w:rsidRDefault="008B3D53" w:rsidP="009B4FE2">
      <w:p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 xml:space="preserve">At the European Union, we have stood ready from the start to support our partner countries in implementing the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commitments. Our assistance is available upon request at country, regional and global level. We are implementing Aid for Trade and trade facilitation programmes at different level, and both our field EU Delegation offices as well as HQs remain available to support our partner countries implementing the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within the notifications of aid that we did to the WTO.</w:t>
      </w:r>
    </w:p>
    <w:p w:rsidR="008B3D53" w:rsidRPr="002A1C6A" w:rsidRDefault="008B3D53" w:rsidP="009B4FE2">
      <w:pPr>
        <w:spacing w:before="100" w:beforeAutospacing="1" w:after="100" w:afterAutospacing="1" w:line="240" w:lineRule="auto"/>
        <w:jc w:val="both"/>
        <w:rPr>
          <w:rFonts w:ascii="Times New Roman" w:hAnsi="Times New Roman" w:cs="Times New Roman"/>
          <w:color w:val="000000" w:themeColor="text1"/>
          <w:sz w:val="24"/>
          <w:szCs w:val="24"/>
        </w:rPr>
      </w:pPr>
      <w:proofErr w:type="gramStart"/>
      <w:r w:rsidRPr="002A1C6A">
        <w:rPr>
          <w:rFonts w:ascii="Times New Roman" w:hAnsi="Times New Roman" w:cs="Times New Roman"/>
          <w:color w:val="000000" w:themeColor="text1"/>
          <w:sz w:val="24"/>
          <w:szCs w:val="24"/>
        </w:rPr>
        <w:t xml:space="preserve">During our yearly survey that we send to our Delegations to collect qualitative information for our annual Aid for Trade EU Progress Report, we found that, although since the entry into force of the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in 2017 we have been approached by our partners from many countries, asking support to the agreement implementation, there is still room for improvement.</w:t>
      </w:r>
      <w:proofErr w:type="gramEnd"/>
      <w:r w:rsidRPr="002A1C6A">
        <w:rPr>
          <w:rFonts w:ascii="Times New Roman" w:hAnsi="Times New Roman" w:cs="Times New Roman"/>
          <w:color w:val="000000" w:themeColor="text1"/>
          <w:sz w:val="24"/>
          <w:szCs w:val="24"/>
        </w:rPr>
        <w:t xml:space="preserve"> Almost a quarter (24%) of our Delegations have not had such experience and further 9% reported on a slight dialogue on this topic.</w:t>
      </w:r>
    </w:p>
    <w:p w:rsidR="008B3D53" w:rsidRPr="002A1C6A" w:rsidRDefault="008B3D53" w:rsidP="009B4FE2">
      <w:p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 xml:space="preserve">Since the entry into force of the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in 2017, 43% of our partner countries have requested EU support for the implementation. Let me use this opportunity to invite all our developing partners to pursue seeking our assistance on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and contact our delegations in their country.</w:t>
      </w:r>
    </w:p>
    <w:p w:rsidR="008B3D53" w:rsidRPr="002A1C6A" w:rsidRDefault="008B3D53" w:rsidP="009B4FE2">
      <w:p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 xml:space="preserve">The current situation, with the COVID-19 crisis retaking strength in many parts of the world, makes the implementation of the Trade Facilitation Agreement even more relevant. The pandemic has accelerated reforms and renewed efforts to advance on the implementation of the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in areas such as exports/imports and transit procedures simplification, digitization, cooperation at the borders and between border agencies, just to mention only a few dimensions of trade facilitation.</w:t>
      </w:r>
    </w:p>
    <w:p w:rsidR="008B3D53" w:rsidRPr="002A1C6A" w:rsidRDefault="008B3D53" w:rsidP="009B4FE2">
      <w:p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 xml:space="preserve">Moreover, the EU and its MS we follow the developments as regards the implementation of the </w:t>
      </w:r>
      <w:proofErr w:type="spellStart"/>
      <w:r w:rsidRPr="002A1C6A">
        <w:rPr>
          <w:rFonts w:ascii="Times New Roman" w:hAnsi="Times New Roman" w:cs="Times New Roman"/>
          <w:color w:val="000000" w:themeColor="text1"/>
          <w:sz w:val="24"/>
          <w:szCs w:val="24"/>
        </w:rPr>
        <w:t>AfCFTA</w:t>
      </w:r>
      <w:proofErr w:type="spellEnd"/>
      <w:r w:rsidRPr="002A1C6A">
        <w:rPr>
          <w:rFonts w:ascii="Times New Roman" w:hAnsi="Times New Roman" w:cs="Times New Roman"/>
          <w:color w:val="000000" w:themeColor="text1"/>
          <w:sz w:val="24"/>
          <w:szCs w:val="24"/>
        </w:rPr>
        <w:t xml:space="preserve">. We think that he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implementation by our African partners is an essential building block to the full implementation of the </w:t>
      </w:r>
      <w:proofErr w:type="spellStart"/>
      <w:r w:rsidRPr="002A1C6A">
        <w:rPr>
          <w:rFonts w:ascii="Times New Roman" w:hAnsi="Times New Roman" w:cs="Times New Roman"/>
          <w:color w:val="000000" w:themeColor="text1"/>
          <w:sz w:val="24"/>
          <w:szCs w:val="24"/>
        </w:rPr>
        <w:t>AfCFTA</w:t>
      </w:r>
      <w:proofErr w:type="spellEnd"/>
      <w:r w:rsidRPr="002A1C6A">
        <w:rPr>
          <w:rFonts w:ascii="Times New Roman" w:hAnsi="Times New Roman" w:cs="Times New Roman"/>
          <w:color w:val="000000" w:themeColor="text1"/>
          <w:sz w:val="24"/>
          <w:szCs w:val="24"/>
        </w:rPr>
        <w:t xml:space="preserve"> trading rules and procedures.</w:t>
      </w:r>
    </w:p>
    <w:p w:rsidR="008B3D53" w:rsidRPr="002A1C6A" w:rsidRDefault="008B3D53" w:rsidP="009B4FE2">
      <w:pPr>
        <w:pStyle w:val="Default"/>
        <w:spacing w:before="100" w:beforeAutospacing="1" w:after="100" w:afterAutospacing="1"/>
        <w:jc w:val="both"/>
        <w:rPr>
          <w:rFonts w:ascii="Times New Roman" w:hAnsi="Times New Roman" w:cs="Times New Roman"/>
          <w:color w:val="000000" w:themeColor="text1"/>
        </w:rPr>
      </w:pPr>
      <w:r w:rsidRPr="002A1C6A">
        <w:rPr>
          <w:rFonts w:ascii="Times New Roman" w:hAnsi="Times New Roman" w:cs="Times New Roman"/>
          <w:color w:val="000000" w:themeColor="text1"/>
        </w:rPr>
        <w:t>Enhanced trade facilitation in Africa would provide legal certainty, reduce administrative costs and export delays, which in turn would bring enormous economic opportunities that are even more pertinent to overcome the economic downturn of the Covid-19 epidemic.</w:t>
      </w:r>
    </w:p>
    <w:p w:rsidR="008B3D53" w:rsidRPr="002A1C6A" w:rsidRDefault="008B3D53" w:rsidP="009B4FE2">
      <w:p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 xml:space="preserve">As regards specific figures, the EU and our Member States, with EUR </w:t>
      </w:r>
      <w:r w:rsidR="009B4FE2" w:rsidRPr="002A1C6A">
        <w:rPr>
          <w:rFonts w:ascii="Times New Roman" w:hAnsi="Times New Roman" w:cs="Times New Roman"/>
          <w:color w:val="000000" w:themeColor="text1"/>
          <w:sz w:val="24"/>
          <w:szCs w:val="24"/>
        </w:rPr>
        <w:t xml:space="preserve">13.5 </w:t>
      </w:r>
      <w:proofErr w:type="spellStart"/>
      <w:r w:rsidR="009B4FE2" w:rsidRPr="002A1C6A">
        <w:rPr>
          <w:rFonts w:ascii="Times New Roman" w:hAnsi="Times New Roman" w:cs="Times New Roman"/>
          <w:color w:val="000000" w:themeColor="text1"/>
          <w:sz w:val="24"/>
          <w:szCs w:val="24"/>
        </w:rPr>
        <w:t>bn</w:t>
      </w:r>
      <w:proofErr w:type="spellEnd"/>
      <w:r w:rsidR="009B4FE2" w:rsidRPr="002A1C6A">
        <w:rPr>
          <w:rFonts w:ascii="Times New Roman" w:hAnsi="Times New Roman" w:cs="Times New Roman"/>
          <w:color w:val="000000" w:themeColor="text1"/>
          <w:sz w:val="24"/>
          <w:szCs w:val="24"/>
        </w:rPr>
        <w:t xml:space="preserve"> volume of Aid</w:t>
      </w:r>
      <w:r w:rsidRPr="002A1C6A">
        <w:rPr>
          <w:rFonts w:ascii="Times New Roman" w:hAnsi="Times New Roman" w:cs="Times New Roman"/>
          <w:color w:val="000000" w:themeColor="text1"/>
          <w:sz w:val="24"/>
          <w:szCs w:val="24"/>
        </w:rPr>
        <w:t xml:space="preserve"> for Trade (according to the latest available OECD CRS data, for 2018), are the </w:t>
      </w:r>
      <w:proofErr w:type="gramStart"/>
      <w:r w:rsidRPr="002A1C6A">
        <w:rPr>
          <w:rFonts w:ascii="Times New Roman" w:hAnsi="Times New Roman" w:cs="Times New Roman"/>
          <w:color w:val="000000" w:themeColor="text1"/>
          <w:sz w:val="24"/>
          <w:szCs w:val="24"/>
        </w:rPr>
        <w:t>1</w:t>
      </w:r>
      <w:r w:rsidRPr="002A1C6A">
        <w:rPr>
          <w:rFonts w:ascii="Times New Roman" w:hAnsi="Times New Roman" w:cs="Times New Roman"/>
          <w:color w:val="000000" w:themeColor="text1"/>
          <w:sz w:val="24"/>
          <w:szCs w:val="24"/>
          <w:vertAlign w:val="superscript"/>
        </w:rPr>
        <w:t>st</w:t>
      </w:r>
      <w:proofErr w:type="gramEnd"/>
      <w:r w:rsidRPr="002A1C6A">
        <w:rPr>
          <w:rFonts w:ascii="Times New Roman" w:hAnsi="Times New Roman" w:cs="Times New Roman"/>
          <w:color w:val="000000" w:themeColor="text1"/>
          <w:sz w:val="24"/>
          <w:szCs w:val="24"/>
        </w:rPr>
        <w:t xml:space="preserve"> world </w:t>
      </w:r>
      <w:r w:rsidR="009B4FE2" w:rsidRPr="002A1C6A">
        <w:rPr>
          <w:rFonts w:ascii="Times New Roman" w:hAnsi="Times New Roman" w:cs="Times New Roman"/>
          <w:color w:val="000000" w:themeColor="text1"/>
          <w:sz w:val="24"/>
          <w:szCs w:val="24"/>
        </w:rPr>
        <w:t>Aid for Trade</w:t>
      </w:r>
      <w:r w:rsidRPr="002A1C6A">
        <w:rPr>
          <w:rFonts w:ascii="Times New Roman" w:hAnsi="Times New Roman" w:cs="Times New Roman"/>
          <w:color w:val="000000" w:themeColor="text1"/>
          <w:sz w:val="24"/>
          <w:szCs w:val="24"/>
        </w:rPr>
        <w:t xml:space="preserve"> donor, providing nearly 1/3 of global </w:t>
      </w:r>
      <w:r w:rsidR="009B4FE2" w:rsidRPr="002A1C6A">
        <w:rPr>
          <w:rFonts w:ascii="Times New Roman" w:hAnsi="Times New Roman" w:cs="Times New Roman"/>
          <w:color w:val="000000" w:themeColor="text1"/>
          <w:sz w:val="24"/>
          <w:szCs w:val="24"/>
        </w:rPr>
        <w:t>Aid for Trade</w:t>
      </w:r>
      <w:r w:rsidRPr="002A1C6A">
        <w:rPr>
          <w:rFonts w:ascii="Times New Roman" w:hAnsi="Times New Roman" w:cs="Times New Roman"/>
          <w:color w:val="000000" w:themeColor="text1"/>
          <w:sz w:val="24"/>
          <w:szCs w:val="24"/>
        </w:rPr>
        <w:t>.</w:t>
      </w:r>
    </w:p>
    <w:p w:rsidR="008B3D53" w:rsidRPr="002A1C6A" w:rsidRDefault="008B3D53" w:rsidP="009B4FE2">
      <w:p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Since the entry into force of the TF Agreement in 2017, the EU and its Member States have committed to mobilise at least EUR 400 million in trade facilitation assistance over a five-year period, including for projects improving developing countries’ customs systems. EU and EU MS commitments for TF for 2017 and 2018 (latest year for which we have the OECD data available) solely already amounted to EUR 442 million</w:t>
      </w:r>
      <w:r w:rsidRPr="002A1C6A">
        <w:rPr>
          <w:rStyle w:val="FootnoteReference"/>
          <w:rFonts w:ascii="Times New Roman" w:hAnsi="Times New Roman" w:cs="Times New Roman"/>
          <w:color w:val="000000" w:themeColor="text1"/>
          <w:sz w:val="24"/>
          <w:szCs w:val="24"/>
        </w:rPr>
        <w:footnoteReference w:id="1"/>
      </w:r>
      <w:r w:rsidRPr="002A1C6A">
        <w:rPr>
          <w:rFonts w:ascii="Times New Roman" w:hAnsi="Times New Roman" w:cs="Times New Roman"/>
          <w:color w:val="000000" w:themeColor="text1"/>
          <w:sz w:val="24"/>
          <w:szCs w:val="24"/>
        </w:rPr>
        <w:t xml:space="preserve">. </w:t>
      </w:r>
    </w:p>
    <w:p w:rsidR="008B3D53" w:rsidRPr="002A1C6A" w:rsidRDefault="008B3D53" w:rsidP="009B4FE2">
      <w:p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In 2018, the latest year for which OECD data is available, the EU and our Member States provided EUR 288 million for Trade Facilitation</w:t>
      </w:r>
      <w:r w:rsidRPr="002A1C6A">
        <w:rPr>
          <w:rStyle w:val="FootnoteReference"/>
          <w:rFonts w:ascii="Times New Roman" w:hAnsi="Times New Roman" w:cs="Times New Roman"/>
          <w:color w:val="000000" w:themeColor="text1"/>
          <w:sz w:val="24"/>
          <w:szCs w:val="24"/>
        </w:rPr>
        <w:footnoteReference w:id="2"/>
      </w:r>
      <w:r w:rsidRPr="002A1C6A">
        <w:rPr>
          <w:rFonts w:ascii="Times New Roman" w:hAnsi="Times New Roman" w:cs="Times New Roman"/>
          <w:color w:val="000000" w:themeColor="text1"/>
          <w:sz w:val="24"/>
          <w:szCs w:val="24"/>
        </w:rPr>
        <w:t>, which stands for 51% of world’s TF support</w:t>
      </w:r>
      <w:r w:rsidRPr="002A1C6A">
        <w:rPr>
          <w:rStyle w:val="FootnoteReference"/>
          <w:rFonts w:ascii="Times New Roman" w:hAnsi="Times New Roman" w:cs="Times New Roman"/>
          <w:color w:val="000000" w:themeColor="text1"/>
          <w:sz w:val="24"/>
          <w:szCs w:val="24"/>
        </w:rPr>
        <w:footnoteReference w:id="3"/>
      </w:r>
      <w:r w:rsidRPr="002A1C6A">
        <w:rPr>
          <w:rFonts w:ascii="Times New Roman" w:hAnsi="Times New Roman" w:cs="Times New Roman"/>
          <w:color w:val="000000" w:themeColor="text1"/>
          <w:sz w:val="24"/>
          <w:szCs w:val="24"/>
        </w:rPr>
        <w:t>.</w:t>
      </w:r>
    </w:p>
    <w:p w:rsidR="008B3D53" w:rsidRPr="00357867" w:rsidRDefault="00357867" w:rsidP="002A1C6A">
      <w:pPr>
        <w:spacing w:before="100" w:beforeAutospacing="1" w:after="100" w:afterAutospacing="1" w:line="240" w:lineRule="auto"/>
        <w:jc w:val="both"/>
        <w:rPr>
          <w:rFonts w:ascii="Times New Roman" w:hAnsi="Times New Roman" w:cs="Times New Roman"/>
          <w:b/>
          <w:color w:val="000000" w:themeColor="text1"/>
          <w:sz w:val="24"/>
          <w:szCs w:val="24"/>
        </w:rPr>
      </w:pPr>
      <w:r w:rsidRPr="00357867">
        <w:rPr>
          <w:rFonts w:ascii="Times New Roman" w:hAnsi="Times New Roman" w:cs="Times New Roman"/>
          <w:b/>
          <w:color w:val="000000" w:themeColor="text1"/>
          <w:sz w:val="24"/>
          <w:szCs w:val="24"/>
        </w:rPr>
        <w:t xml:space="preserve">Challenges and lessons learned </w:t>
      </w:r>
    </w:p>
    <w:p w:rsidR="008B3D53" w:rsidRPr="002A1C6A" w:rsidRDefault="008B3D53" w:rsidP="002A1C6A">
      <w:pPr>
        <w:spacing w:before="100" w:beforeAutospacing="1" w:after="100" w:afterAutospacing="1" w:line="240" w:lineRule="auto"/>
        <w:ind w:left="-340" w:firstLine="340"/>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Challenges:</w:t>
      </w:r>
    </w:p>
    <w:p w:rsidR="008B3D53" w:rsidRPr="002A1C6A" w:rsidRDefault="008B3D53" w:rsidP="009B4FE2">
      <w:pPr>
        <w:pStyle w:val="ListParagraph"/>
        <w:numPr>
          <w:ilvl w:val="0"/>
          <w:numId w:val="3"/>
        </w:num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 xml:space="preserve">Due to COVID-19, the mobilisation of experts has been difficult; in-person trainings and consultations were cancelled and </w:t>
      </w:r>
      <w:proofErr w:type="gramStart"/>
      <w:r w:rsidRPr="002A1C6A">
        <w:rPr>
          <w:rFonts w:ascii="Times New Roman" w:hAnsi="Times New Roman" w:cs="Times New Roman"/>
          <w:color w:val="000000" w:themeColor="text1"/>
          <w:sz w:val="24"/>
          <w:szCs w:val="24"/>
        </w:rPr>
        <w:t>had to be organized</w:t>
      </w:r>
      <w:proofErr w:type="gramEnd"/>
      <w:r w:rsidRPr="002A1C6A">
        <w:rPr>
          <w:rFonts w:ascii="Times New Roman" w:hAnsi="Times New Roman" w:cs="Times New Roman"/>
          <w:color w:val="000000" w:themeColor="text1"/>
          <w:sz w:val="24"/>
          <w:szCs w:val="24"/>
        </w:rPr>
        <w:t xml:space="preserve"> via virtual means.</w:t>
      </w:r>
    </w:p>
    <w:p w:rsidR="008B3D53" w:rsidRPr="002A1C6A" w:rsidRDefault="008B3D53" w:rsidP="009B4FE2">
      <w:pPr>
        <w:pStyle w:val="ListParagraph"/>
        <w:numPr>
          <w:ilvl w:val="0"/>
          <w:numId w:val="3"/>
        </w:num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The COVID-19 crisis has also delayed the organisation of activities that cannot be organised in virtual way.</w:t>
      </w:r>
    </w:p>
    <w:p w:rsidR="008B3D53" w:rsidRPr="002A1C6A" w:rsidRDefault="008B3D53" w:rsidP="009B4FE2">
      <w:pPr>
        <w:pStyle w:val="ListParagraph"/>
        <w:numPr>
          <w:ilvl w:val="0"/>
          <w:numId w:val="3"/>
        </w:num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Due to COVID-19 disruptions, it has proven challenging at times to agree on dates/implementation modalities of remaining activities and it will be a challenge to sequence them once the pandemic is over due to an overflow of activities of other programmes and donors that await the same moment;</w:t>
      </w:r>
    </w:p>
    <w:p w:rsidR="008B3D53" w:rsidRPr="002A1C6A" w:rsidRDefault="008B3D53" w:rsidP="009B4FE2">
      <w:pPr>
        <w:pStyle w:val="ListParagraph"/>
        <w:numPr>
          <w:ilvl w:val="0"/>
          <w:numId w:val="3"/>
        </w:num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Another challenge is that at times of crisis, there seems to be  low interest/capacity of the NCTF coordinating agency (usually under Min. of Trade) to take benefits from various development partners' programmes.</w:t>
      </w:r>
    </w:p>
    <w:p w:rsidR="008B3D53" w:rsidRPr="002A1C6A" w:rsidRDefault="008B3D53" w:rsidP="002A1C6A">
      <w:pPr>
        <w:pStyle w:val="ListParagraph"/>
        <w:numPr>
          <w:ilvl w:val="0"/>
          <w:numId w:val="3"/>
        </w:num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 xml:space="preserve">Often reported: lack of coordination between Ministries and low institutional capacity of the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stakeholders. </w:t>
      </w:r>
    </w:p>
    <w:p w:rsidR="008B3D53" w:rsidRPr="002A1C6A" w:rsidRDefault="008B3D53" w:rsidP="002A1C6A">
      <w:pPr>
        <w:spacing w:before="100" w:beforeAutospacing="1" w:after="100" w:afterAutospacing="1" w:line="240" w:lineRule="auto"/>
        <w:ind w:left="-283" w:firstLine="283"/>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Lessons learnt:</w:t>
      </w:r>
    </w:p>
    <w:p w:rsidR="008B3D53" w:rsidRPr="002A1C6A" w:rsidRDefault="008B3D53" w:rsidP="009B4FE2">
      <w:pPr>
        <w:pStyle w:val="ListParagraph"/>
        <w:numPr>
          <w:ilvl w:val="0"/>
          <w:numId w:val="4"/>
        </w:num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One of the key take-</w:t>
      </w:r>
      <w:proofErr w:type="spellStart"/>
      <w:r w:rsidRPr="002A1C6A">
        <w:rPr>
          <w:rFonts w:ascii="Times New Roman" w:hAnsi="Times New Roman" w:cs="Times New Roman"/>
          <w:color w:val="000000" w:themeColor="text1"/>
          <w:sz w:val="24"/>
          <w:szCs w:val="24"/>
        </w:rPr>
        <w:t>aways</w:t>
      </w:r>
      <w:proofErr w:type="spellEnd"/>
      <w:r w:rsidRPr="002A1C6A">
        <w:rPr>
          <w:rFonts w:ascii="Times New Roman" w:hAnsi="Times New Roman" w:cs="Times New Roman"/>
          <w:color w:val="000000" w:themeColor="text1"/>
          <w:sz w:val="24"/>
          <w:szCs w:val="24"/>
        </w:rPr>
        <w:t xml:space="preserve"> of the COVID-19 project adaptation is the need for coordination between national and international development partners. For instance, a series of surveys </w:t>
      </w:r>
      <w:proofErr w:type="gramStart"/>
      <w:r w:rsidRPr="002A1C6A">
        <w:rPr>
          <w:rFonts w:ascii="Times New Roman" w:hAnsi="Times New Roman" w:cs="Times New Roman"/>
          <w:color w:val="000000" w:themeColor="text1"/>
          <w:sz w:val="24"/>
          <w:szCs w:val="24"/>
        </w:rPr>
        <w:t>were launched</w:t>
      </w:r>
      <w:proofErr w:type="gramEnd"/>
      <w:r w:rsidRPr="002A1C6A">
        <w:rPr>
          <w:rFonts w:ascii="Times New Roman" w:hAnsi="Times New Roman" w:cs="Times New Roman"/>
          <w:color w:val="000000" w:themeColor="text1"/>
          <w:sz w:val="24"/>
          <w:szCs w:val="24"/>
        </w:rPr>
        <w:t xml:space="preserve"> almost at the same time to assess the COVID-19 impacts. That </w:t>
      </w:r>
      <w:proofErr w:type="gramStart"/>
      <w:r w:rsidRPr="002A1C6A">
        <w:rPr>
          <w:rFonts w:ascii="Times New Roman" w:hAnsi="Times New Roman" w:cs="Times New Roman"/>
          <w:color w:val="000000" w:themeColor="text1"/>
          <w:sz w:val="24"/>
          <w:szCs w:val="24"/>
        </w:rPr>
        <w:t>could be streamlined</w:t>
      </w:r>
      <w:proofErr w:type="gramEnd"/>
      <w:r w:rsidRPr="002A1C6A">
        <w:rPr>
          <w:rFonts w:ascii="Times New Roman" w:hAnsi="Times New Roman" w:cs="Times New Roman"/>
          <w:color w:val="000000" w:themeColor="text1"/>
          <w:sz w:val="24"/>
          <w:szCs w:val="24"/>
        </w:rPr>
        <w:t xml:space="preserve"> as we stressed in all dedicated sessions on aid.</w:t>
      </w:r>
    </w:p>
    <w:p w:rsidR="008B3D53" w:rsidRPr="002A1C6A" w:rsidRDefault="008B3D53" w:rsidP="009B4FE2">
      <w:pPr>
        <w:pStyle w:val="ListParagraph"/>
        <w:numPr>
          <w:ilvl w:val="0"/>
          <w:numId w:val="4"/>
        </w:num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 xml:space="preserve">We gathered that in West Africa for example, the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support structure already has multiple sources of donor and country funding to help West African countries implement the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including the United Nations Conference on Trade and Development (UNCTAD), the World Customs Organization, ITC, and the WTO. The EU on TF in West Africa aims to complement and leverage these multiple donor options to maximize the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benefits for the region. In such cases, as the TFWA program did, it is best focus on understanding “who is doing what” in relation to the other partners working in the region, and developing a work plan in coordination with the other partners to advance the programme’s objective of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ratification and notification of categories by all ECOWAS countries.</w:t>
      </w:r>
    </w:p>
    <w:p w:rsidR="008B3D53" w:rsidRPr="002A1C6A" w:rsidRDefault="008B3D53" w:rsidP="009B4FE2">
      <w:pPr>
        <w:pStyle w:val="ListParagraph"/>
        <w:numPr>
          <w:ilvl w:val="0"/>
          <w:numId w:val="4"/>
        </w:num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 xml:space="preserve">SMES in the Caribbean region (under EU Regional Private Sector Development Programme for the Caribbean) have identified digital marketing, business continuity planning, and training in e-commerce as the top three areas of focus following COVID-19. Therefore, information on e-commerce that </w:t>
      </w:r>
      <w:proofErr w:type="gramStart"/>
      <w:r w:rsidRPr="002A1C6A">
        <w:rPr>
          <w:rFonts w:ascii="Times New Roman" w:hAnsi="Times New Roman" w:cs="Times New Roman"/>
          <w:color w:val="000000" w:themeColor="text1"/>
          <w:sz w:val="24"/>
          <w:szCs w:val="24"/>
        </w:rPr>
        <w:t>can be easily accessed</w:t>
      </w:r>
      <w:proofErr w:type="gramEnd"/>
      <w:r w:rsidRPr="002A1C6A">
        <w:rPr>
          <w:rFonts w:ascii="Times New Roman" w:hAnsi="Times New Roman" w:cs="Times New Roman"/>
          <w:color w:val="000000" w:themeColor="text1"/>
          <w:sz w:val="24"/>
          <w:szCs w:val="24"/>
        </w:rPr>
        <w:t xml:space="preserve"> by Caribbean firms and BSOs will be developed and made available, via the Agency´s CE</w:t>
      </w:r>
      <w:r w:rsidR="00357867">
        <w:rPr>
          <w:rFonts w:ascii="Times New Roman" w:hAnsi="Times New Roman" w:cs="Times New Roman"/>
          <w:color w:val="000000" w:themeColor="text1"/>
          <w:sz w:val="24"/>
          <w:szCs w:val="24"/>
        </w:rPr>
        <w:t>-</w:t>
      </w:r>
      <w:r w:rsidRPr="002A1C6A">
        <w:rPr>
          <w:rFonts w:ascii="Times New Roman" w:hAnsi="Times New Roman" w:cs="Times New Roman"/>
          <w:color w:val="000000" w:themeColor="text1"/>
          <w:sz w:val="24"/>
          <w:szCs w:val="24"/>
        </w:rPr>
        <w:t>Intelligence portal. This information will include, but not be limited to the following: e-commerce platforms; e-payment gateways; logistics</w:t>
      </w:r>
      <w:proofErr w:type="gramStart"/>
      <w:r w:rsidRPr="002A1C6A">
        <w:rPr>
          <w:rFonts w:ascii="Times New Roman" w:hAnsi="Times New Roman" w:cs="Times New Roman"/>
          <w:color w:val="000000" w:themeColor="text1"/>
          <w:sz w:val="24"/>
          <w:szCs w:val="24"/>
        </w:rPr>
        <w:t>;</w:t>
      </w:r>
      <w:proofErr w:type="gramEnd"/>
      <w:r w:rsidRPr="002A1C6A">
        <w:rPr>
          <w:rFonts w:ascii="Times New Roman" w:hAnsi="Times New Roman" w:cs="Times New Roman"/>
          <w:color w:val="000000" w:themeColor="text1"/>
          <w:sz w:val="24"/>
          <w:szCs w:val="24"/>
        </w:rPr>
        <w:t xml:space="preserve"> shipping.</w:t>
      </w:r>
    </w:p>
    <w:p w:rsidR="008B3D53" w:rsidRPr="00357867" w:rsidRDefault="008B3D53" w:rsidP="00357867">
      <w:pPr>
        <w:pStyle w:val="ListParagraph"/>
        <w:numPr>
          <w:ilvl w:val="0"/>
          <w:numId w:val="4"/>
        </w:numPr>
        <w:spacing w:before="100" w:beforeAutospacing="1" w:after="100" w:afterAutospacing="1" w:line="240" w:lineRule="auto"/>
        <w:jc w:val="both"/>
        <w:rPr>
          <w:rFonts w:ascii="Times New Roman" w:hAnsi="Times New Roman" w:cs="Times New Roman"/>
          <w:color w:val="000000" w:themeColor="text1"/>
          <w:sz w:val="24"/>
          <w:szCs w:val="24"/>
        </w:rPr>
      </w:pPr>
      <w:r w:rsidRPr="002A1C6A">
        <w:rPr>
          <w:rFonts w:ascii="Times New Roman" w:hAnsi="Times New Roman" w:cs="Times New Roman"/>
          <w:color w:val="000000" w:themeColor="text1"/>
          <w:sz w:val="24"/>
          <w:szCs w:val="24"/>
        </w:rPr>
        <w:t xml:space="preserve">Coordination and communication </w:t>
      </w:r>
      <w:proofErr w:type="gramStart"/>
      <w:r w:rsidRPr="002A1C6A">
        <w:rPr>
          <w:rFonts w:ascii="Times New Roman" w:hAnsi="Times New Roman" w:cs="Times New Roman"/>
          <w:color w:val="000000" w:themeColor="text1"/>
          <w:sz w:val="24"/>
          <w:szCs w:val="24"/>
        </w:rPr>
        <w:t>will be also needed</w:t>
      </w:r>
      <w:proofErr w:type="gramEnd"/>
      <w:r w:rsidRPr="002A1C6A">
        <w:rPr>
          <w:rFonts w:ascii="Times New Roman" w:hAnsi="Times New Roman" w:cs="Times New Roman"/>
          <w:color w:val="000000" w:themeColor="text1"/>
          <w:sz w:val="24"/>
          <w:szCs w:val="24"/>
        </w:rPr>
        <w:t xml:space="preserve"> at </w:t>
      </w:r>
      <w:bookmarkStart w:id="0" w:name="_GoBack"/>
      <w:bookmarkEnd w:id="0"/>
      <w:r w:rsidRPr="002A1C6A">
        <w:rPr>
          <w:rFonts w:ascii="Times New Roman" w:hAnsi="Times New Roman" w:cs="Times New Roman"/>
          <w:color w:val="000000" w:themeColor="text1"/>
          <w:sz w:val="24"/>
          <w:szCs w:val="24"/>
        </w:rPr>
        <w:t>the time of recovery: when travel will be authorized again, project components and development agencies would need to make sure that not all activities are organized at the same time.</w:t>
      </w:r>
    </w:p>
    <w:p w:rsidR="008B3D53" w:rsidRPr="002A1C6A" w:rsidRDefault="008B3D53" w:rsidP="009B4FE2">
      <w:pPr>
        <w:spacing w:before="100" w:beforeAutospacing="1" w:after="100" w:afterAutospacing="1" w:line="240" w:lineRule="auto"/>
        <w:rPr>
          <w:rFonts w:ascii="Times New Roman" w:hAnsi="Times New Roman" w:cs="Times New Roman"/>
          <w:b/>
          <w:color w:val="000000" w:themeColor="text1"/>
          <w:sz w:val="24"/>
          <w:szCs w:val="24"/>
        </w:rPr>
      </w:pPr>
      <w:r w:rsidRPr="002A1C6A">
        <w:rPr>
          <w:rFonts w:ascii="Times New Roman" w:hAnsi="Times New Roman" w:cs="Times New Roman"/>
          <w:b/>
          <w:color w:val="000000" w:themeColor="text1"/>
          <w:sz w:val="24"/>
          <w:szCs w:val="24"/>
        </w:rPr>
        <w:t>Programmes examples:</w:t>
      </w:r>
    </w:p>
    <w:p w:rsidR="008B3D53" w:rsidRPr="00357867" w:rsidRDefault="008B3D53" w:rsidP="00357867">
      <w:pPr>
        <w:pStyle w:val="ListParagraph"/>
        <w:numPr>
          <w:ilvl w:val="0"/>
          <w:numId w:val="9"/>
        </w:numPr>
        <w:spacing w:before="100" w:beforeAutospacing="1" w:after="100" w:afterAutospacing="1" w:line="240" w:lineRule="auto"/>
        <w:jc w:val="both"/>
        <w:rPr>
          <w:color w:val="000000" w:themeColor="text1"/>
        </w:rPr>
      </w:pPr>
      <w:r w:rsidRPr="00357867">
        <w:rPr>
          <w:rFonts w:ascii="Times New Roman" w:eastAsia="Calibri" w:hAnsi="Times New Roman" w:cs="Times New Roman"/>
          <w:b/>
          <w:bCs/>
          <w:color w:val="000000" w:themeColor="text1"/>
          <w:w w:val="105"/>
          <w:sz w:val="24"/>
          <w:szCs w:val="24"/>
          <w:lang w:val="en-US" w:bidi="en-US"/>
        </w:rPr>
        <w:t>EU-Sri Lanka Trade-Related Assistance Project,</w:t>
      </w:r>
      <w:r w:rsidRPr="00357867">
        <w:rPr>
          <w:rFonts w:ascii="Times New Roman" w:eastAsia="Calibri" w:hAnsi="Times New Roman" w:cs="Times New Roman"/>
          <w:bCs/>
          <w:color w:val="000000" w:themeColor="text1"/>
          <w:w w:val="105"/>
          <w:sz w:val="24"/>
          <w:szCs w:val="24"/>
          <w:lang w:val="en-US" w:bidi="en-US"/>
        </w:rPr>
        <w:t xml:space="preserve"> 7</w:t>
      </w:r>
      <w:r w:rsidRPr="00357867">
        <w:rPr>
          <w:rFonts w:ascii="Times New Roman" w:hAnsi="Times New Roman" w:cs="Times New Roman"/>
          <w:color w:val="000000" w:themeColor="text1"/>
          <w:sz w:val="24"/>
          <w:szCs w:val="24"/>
          <w:lang w:val="en-IE"/>
        </w:rPr>
        <w:t>.75 MEUR, 2016-21, implemented by the ITC. The programme supports the Government of Sri Lanka to prepare for the implementation of the WTO Trade Facilitation Agreement (</w:t>
      </w:r>
      <w:r w:rsidR="009B4FE2" w:rsidRPr="00357867">
        <w:rPr>
          <w:rFonts w:ascii="Times New Roman" w:hAnsi="Times New Roman" w:cs="Times New Roman"/>
          <w:color w:val="000000" w:themeColor="text1"/>
          <w:sz w:val="24"/>
          <w:szCs w:val="24"/>
          <w:lang w:val="en-IE"/>
        </w:rPr>
        <w:t>Trade Facilitation Agreement</w:t>
      </w:r>
      <w:r w:rsidRPr="00357867">
        <w:rPr>
          <w:rFonts w:ascii="Times New Roman" w:hAnsi="Times New Roman" w:cs="Times New Roman"/>
          <w:color w:val="000000" w:themeColor="text1"/>
          <w:sz w:val="24"/>
          <w:szCs w:val="24"/>
          <w:lang w:val="en-IE"/>
        </w:rPr>
        <w:t xml:space="preserve">), by providing technical support to implement specific </w:t>
      </w:r>
      <w:r w:rsidR="009B4FE2" w:rsidRPr="00357867">
        <w:rPr>
          <w:rFonts w:ascii="Times New Roman" w:hAnsi="Times New Roman" w:cs="Times New Roman"/>
          <w:color w:val="000000" w:themeColor="text1"/>
          <w:sz w:val="24"/>
          <w:szCs w:val="24"/>
          <w:lang w:val="en-IE"/>
        </w:rPr>
        <w:t>Trade Facilitation Agreement</w:t>
      </w:r>
      <w:r w:rsidRPr="00357867">
        <w:rPr>
          <w:rFonts w:ascii="Times New Roman" w:hAnsi="Times New Roman" w:cs="Times New Roman"/>
          <w:color w:val="000000" w:themeColor="text1"/>
          <w:sz w:val="24"/>
          <w:szCs w:val="24"/>
          <w:lang w:val="en-IE"/>
        </w:rPr>
        <w:t xml:space="preserve"> measures, as well as by strengthening the institutional capacity of the National Trade Facilitation Committee (NTFC) to drive trade facilitation reforms in Sri Lanka</w:t>
      </w:r>
      <w:r w:rsidRPr="00357867">
        <w:rPr>
          <w:color w:val="000000" w:themeColor="text1"/>
        </w:rPr>
        <w:t>.</w:t>
      </w:r>
    </w:p>
    <w:p w:rsidR="008B3D53" w:rsidRPr="002A1C6A" w:rsidRDefault="008B3D53" w:rsidP="00357867">
      <w:pPr>
        <w:pStyle w:val="ListParagraph"/>
        <w:numPr>
          <w:ilvl w:val="0"/>
          <w:numId w:val="9"/>
        </w:numPr>
        <w:spacing w:before="100" w:beforeAutospacing="1" w:after="100" w:afterAutospacing="1" w:line="240" w:lineRule="auto"/>
        <w:jc w:val="both"/>
        <w:rPr>
          <w:rFonts w:ascii="Times New Roman" w:hAnsi="Times New Roman" w:cs="Times New Roman"/>
          <w:color w:val="000000" w:themeColor="text1"/>
          <w:sz w:val="24"/>
          <w:szCs w:val="24"/>
        </w:rPr>
      </w:pPr>
      <w:proofErr w:type="gramStart"/>
      <w:r w:rsidRPr="002A1C6A">
        <w:rPr>
          <w:rFonts w:ascii="Times New Roman" w:hAnsi="Times New Roman" w:cs="Times New Roman"/>
          <w:b/>
          <w:color w:val="000000" w:themeColor="text1"/>
          <w:sz w:val="24"/>
          <w:szCs w:val="24"/>
        </w:rPr>
        <w:t>11</w:t>
      </w:r>
      <w:r w:rsidRPr="002A1C6A">
        <w:rPr>
          <w:rFonts w:ascii="Times New Roman" w:hAnsi="Times New Roman" w:cs="Times New Roman"/>
          <w:b/>
          <w:color w:val="000000" w:themeColor="text1"/>
          <w:sz w:val="24"/>
          <w:szCs w:val="24"/>
          <w:vertAlign w:val="superscript"/>
        </w:rPr>
        <w:t>th</w:t>
      </w:r>
      <w:proofErr w:type="gramEnd"/>
      <w:r w:rsidRPr="002A1C6A">
        <w:rPr>
          <w:rFonts w:ascii="Times New Roman" w:hAnsi="Times New Roman" w:cs="Times New Roman"/>
          <w:b/>
          <w:color w:val="000000" w:themeColor="text1"/>
          <w:sz w:val="24"/>
          <w:szCs w:val="24"/>
        </w:rPr>
        <w:t xml:space="preserve"> EDF Regional Private Sector Development Programme for the Caribbean</w:t>
      </w:r>
      <w:r w:rsidRPr="002A1C6A">
        <w:rPr>
          <w:rFonts w:ascii="Times New Roman" w:hAnsi="Times New Roman" w:cs="Times New Roman"/>
          <w:color w:val="000000" w:themeColor="text1"/>
          <w:sz w:val="24"/>
          <w:szCs w:val="24"/>
        </w:rPr>
        <w:t xml:space="preserve">, 2017-21, 24 MEUR. It supports the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obligations in terms of availability of information on rules and procedures, automation and e-service: (a) The CE Intelligence portal (https://www.ceintelligence.com) provides businesses with regional and international data on trade flows, packaging and labelling requirements, and a directory of buyers and suppliers in the Region. (b)  </w:t>
      </w:r>
      <w:proofErr w:type="spellStart"/>
      <w:r w:rsidRPr="002A1C6A">
        <w:rPr>
          <w:rFonts w:ascii="Times New Roman" w:hAnsi="Times New Roman" w:cs="Times New Roman"/>
          <w:color w:val="000000" w:themeColor="text1"/>
          <w:sz w:val="24"/>
          <w:szCs w:val="24"/>
        </w:rPr>
        <w:t>i</w:t>
      </w:r>
      <w:proofErr w:type="spellEnd"/>
      <w:r w:rsidRPr="002A1C6A">
        <w:rPr>
          <w:rFonts w:ascii="Times New Roman" w:hAnsi="Times New Roman" w:cs="Times New Roman"/>
          <w:color w:val="000000" w:themeColor="text1"/>
          <w:sz w:val="24"/>
          <w:szCs w:val="24"/>
        </w:rPr>
        <w:t xml:space="preserve">-guides for Caribbean countries (together with UNCTAD): the </w:t>
      </w:r>
      <w:proofErr w:type="spellStart"/>
      <w:r w:rsidRPr="002A1C6A">
        <w:rPr>
          <w:rFonts w:ascii="Times New Roman" w:hAnsi="Times New Roman" w:cs="Times New Roman"/>
          <w:color w:val="000000" w:themeColor="text1"/>
          <w:sz w:val="24"/>
          <w:szCs w:val="24"/>
        </w:rPr>
        <w:t>iGuide</w:t>
      </w:r>
      <w:proofErr w:type="spellEnd"/>
      <w:r w:rsidRPr="002A1C6A">
        <w:rPr>
          <w:rFonts w:ascii="Times New Roman" w:hAnsi="Times New Roman" w:cs="Times New Roman"/>
          <w:color w:val="000000" w:themeColor="text1"/>
          <w:sz w:val="24"/>
          <w:szCs w:val="24"/>
        </w:rPr>
        <w:t xml:space="preserve"> is a tool that enables potential investors to discover and have a guide on investment opportunities; get a better understanding of a country’s “doing business” environment; and know the laws and procedures that govern a country, so that they can make informed decisions on investment activities. So far, </w:t>
      </w:r>
      <w:proofErr w:type="spellStart"/>
      <w:r w:rsidRPr="002A1C6A">
        <w:rPr>
          <w:rFonts w:ascii="Times New Roman" w:hAnsi="Times New Roman" w:cs="Times New Roman"/>
          <w:color w:val="000000" w:themeColor="text1"/>
          <w:sz w:val="24"/>
          <w:szCs w:val="24"/>
        </w:rPr>
        <w:t>i</w:t>
      </w:r>
      <w:proofErr w:type="spellEnd"/>
      <w:r w:rsidRPr="002A1C6A">
        <w:rPr>
          <w:rFonts w:ascii="Times New Roman" w:hAnsi="Times New Roman" w:cs="Times New Roman"/>
          <w:color w:val="000000" w:themeColor="text1"/>
          <w:sz w:val="24"/>
          <w:szCs w:val="24"/>
        </w:rPr>
        <w:t xml:space="preserve">-guides </w:t>
      </w:r>
      <w:proofErr w:type="gramStart"/>
      <w:r w:rsidRPr="002A1C6A">
        <w:rPr>
          <w:rFonts w:ascii="Times New Roman" w:hAnsi="Times New Roman" w:cs="Times New Roman"/>
          <w:color w:val="000000" w:themeColor="text1"/>
          <w:sz w:val="24"/>
          <w:szCs w:val="24"/>
        </w:rPr>
        <w:t>have been developed</w:t>
      </w:r>
      <w:proofErr w:type="gramEnd"/>
      <w:r w:rsidRPr="002A1C6A">
        <w:rPr>
          <w:rFonts w:ascii="Times New Roman" w:hAnsi="Times New Roman" w:cs="Times New Roman"/>
          <w:color w:val="000000" w:themeColor="text1"/>
          <w:sz w:val="24"/>
          <w:szCs w:val="24"/>
        </w:rPr>
        <w:t xml:space="preserve"> for Antigua and Barbuda, Jamaica, Saint Vincent and the Grenadines and Saint Lucia.</w:t>
      </w:r>
    </w:p>
    <w:p w:rsidR="008B3D53" w:rsidRPr="002A1C6A" w:rsidRDefault="008B3D53" w:rsidP="00357867">
      <w:pPr>
        <w:pStyle w:val="ListParagraph"/>
        <w:numPr>
          <w:ilvl w:val="0"/>
          <w:numId w:val="9"/>
        </w:numPr>
        <w:spacing w:before="100" w:beforeAutospacing="1" w:after="100" w:afterAutospacing="1" w:line="240" w:lineRule="auto"/>
        <w:jc w:val="both"/>
        <w:rPr>
          <w:rFonts w:ascii="Times New Roman" w:hAnsi="Times New Roman" w:cs="Times New Roman"/>
          <w:color w:val="000000" w:themeColor="text1"/>
          <w:sz w:val="24"/>
          <w:szCs w:val="24"/>
          <w:lang w:val="en-IE"/>
        </w:rPr>
      </w:pPr>
      <w:r w:rsidRPr="002A1C6A">
        <w:rPr>
          <w:rFonts w:ascii="Times New Roman" w:eastAsia="Calibri" w:hAnsi="Times New Roman" w:cs="Times New Roman"/>
          <w:b/>
          <w:bCs/>
          <w:color w:val="000000" w:themeColor="text1"/>
          <w:w w:val="105"/>
          <w:sz w:val="24"/>
          <w:szCs w:val="24"/>
          <w:lang w:val="en-US" w:bidi="en-US"/>
        </w:rPr>
        <w:t xml:space="preserve">EPA - Supporting Trade and Development in Mozambique – "PROMOVE </w:t>
      </w:r>
      <w:proofErr w:type="spellStart"/>
      <w:r w:rsidRPr="002A1C6A">
        <w:rPr>
          <w:rFonts w:ascii="Times New Roman" w:eastAsia="Calibri" w:hAnsi="Times New Roman" w:cs="Times New Roman"/>
          <w:b/>
          <w:bCs/>
          <w:color w:val="000000" w:themeColor="text1"/>
          <w:w w:val="105"/>
          <w:sz w:val="24"/>
          <w:szCs w:val="24"/>
          <w:lang w:val="en-US" w:bidi="en-US"/>
        </w:rPr>
        <w:t>Comércio</w:t>
      </w:r>
      <w:proofErr w:type="spellEnd"/>
      <w:r w:rsidRPr="002A1C6A">
        <w:rPr>
          <w:rFonts w:ascii="Times New Roman" w:hAnsi="Times New Roman" w:cs="Times New Roman"/>
          <w:color w:val="000000" w:themeColor="text1"/>
          <w:sz w:val="24"/>
          <w:szCs w:val="24"/>
          <w:lang w:val="en-IE"/>
        </w:rPr>
        <w:t xml:space="preserve">", 6 MEUR. Objectives include support to government with implementation of the </w:t>
      </w:r>
      <w:r w:rsidR="009B4FE2" w:rsidRPr="002A1C6A">
        <w:rPr>
          <w:rFonts w:ascii="Times New Roman" w:hAnsi="Times New Roman" w:cs="Times New Roman"/>
          <w:color w:val="000000" w:themeColor="text1"/>
          <w:sz w:val="24"/>
          <w:szCs w:val="24"/>
          <w:lang w:val="en-IE"/>
        </w:rPr>
        <w:t>Trade Facilitation Agreement</w:t>
      </w:r>
      <w:r w:rsidRPr="002A1C6A">
        <w:rPr>
          <w:rFonts w:ascii="Times New Roman" w:hAnsi="Times New Roman" w:cs="Times New Roman"/>
          <w:color w:val="000000" w:themeColor="text1"/>
          <w:sz w:val="24"/>
          <w:szCs w:val="24"/>
          <w:lang w:val="en-IE"/>
        </w:rPr>
        <w:t xml:space="preserve"> trade facilitation reforms (along with support to the implementation of the EPA).</w:t>
      </w:r>
    </w:p>
    <w:p w:rsidR="008B3D53" w:rsidRPr="002A1C6A" w:rsidRDefault="008B3D53" w:rsidP="00357867">
      <w:pPr>
        <w:pStyle w:val="ListParagraph"/>
        <w:numPr>
          <w:ilvl w:val="0"/>
          <w:numId w:val="9"/>
        </w:numPr>
        <w:spacing w:before="100" w:beforeAutospacing="1" w:after="100" w:afterAutospacing="1" w:line="240" w:lineRule="auto"/>
        <w:jc w:val="both"/>
        <w:rPr>
          <w:color w:val="000000" w:themeColor="text1"/>
        </w:rPr>
      </w:pPr>
      <w:r w:rsidRPr="002A1C6A">
        <w:rPr>
          <w:rFonts w:ascii="Times New Roman" w:eastAsia="Calibri" w:hAnsi="Times New Roman" w:cs="Times New Roman"/>
          <w:b/>
          <w:bCs/>
          <w:color w:val="000000" w:themeColor="text1"/>
          <w:w w:val="105"/>
          <w:sz w:val="24"/>
          <w:szCs w:val="24"/>
          <w:lang w:val="en-US" w:bidi="en-US"/>
        </w:rPr>
        <w:t>Facilitating the Process of Uzbekistan's Accession to the WTO,</w:t>
      </w:r>
      <w:r w:rsidRPr="002A1C6A">
        <w:rPr>
          <w:rFonts w:ascii="Times New Roman" w:eastAsia="Calibri" w:hAnsi="Times New Roman" w:cs="Times New Roman"/>
          <w:bCs/>
          <w:color w:val="000000" w:themeColor="text1"/>
          <w:w w:val="105"/>
          <w:sz w:val="24"/>
          <w:szCs w:val="24"/>
          <w:lang w:val="en-US" w:bidi="en-US"/>
        </w:rPr>
        <w:t xml:space="preserve"> </w:t>
      </w:r>
      <w:r w:rsidRPr="002A1C6A">
        <w:rPr>
          <w:rFonts w:ascii="Times New Roman" w:hAnsi="Times New Roman" w:cs="Times New Roman"/>
          <w:color w:val="000000" w:themeColor="text1"/>
          <w:sz w:val="24"/>
          <w:szCs w:val="24"/>
        </w:rPr>
        <w:t xml:space="preserve">4.75 MEUR, </w:t>
      </w:r>
      <w:proofErr w:type="gramStart"/>
      <w:r w:rsidRPr="002A1C6A">
        <w:rPr>
          <w:rFonts w:ascii="Times New Roman" w:hAnsi="Times New Roman" w:cs="Times New Roman"/>
          <w:color w:val="000000" w:themeColor="text1"/>
          <w:sz w:val="24"/>
          <w:szCs w:val="24"/>
        </w:rPr>
        <w:t>2020</w:t>
      </w:r>
      <w:proofErr w:type="gramEnd"/>
      <w:r w:rsidRPr="002A1C6A">
        <w:rPr>
          <w:rFonts w:ascii="Times New Roman" w:hAnsi="Times New Roman" w:cs="Times New Roman"/>
          <w:color w:val="000000" w:themeColor="text1"/>
          <w:sz w:val="24"/>
          <w:szCs w:val="24"/>
        </w:rPr>
        <w:t xml:space="preserve">-25, implemented by ITC. One component of the project </w:t>
      </w:r>
      <w:proofErr w:type="gramStart"/>
      <w:r w:rsidRPr="002A1C6A">
        <w:rPr>
          <w:rFonts w:ascii="Times New Roman" w:hAnsi="Times New Roman" w:cs="Times New Roman"/>
          <w:color w:val="000000" w:themeColor="text1"/>
          <w:sz w:val="24"/>
          <w:szCs w:val="24"/>
        </w:rPr>
        <w:t>is specifically dedicated</w:t>
      </w:r>
      <w:proofErr w:type="gramEnd"/>
      <w:r w:rsidRPr="002A1C6A">
        <w:rPr>
          <w:rFonts w:ascii="Times New Roman" w:hAnsi="Times New Roman" w:cs="Times New Roman"/>
          <w:color w:val="000000" w:themeColor="text1"/>
          <w:sz w:val="24"/>
          <w:szCs w:val="24"/>
        </w:rPr>
        <w:t xml:space="preserve"> to support the establishment/strengthening of the National Trade Facilitation Committee in Uzbekistan, which is one of the requirements (Article 23) provided in the WTO Agreement on Trade Facilitation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One of the NTFC’s first tasks will be to review and agree upon the categorization of the trade facilitation measures (as per the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nomenclature) for Uzbekistan. The Project may also contribute to support the review/development of the Trade Facilitation-</w:t>
      </w:r>
      <w:proofErr w:type="gramStart"/>
      <w:r w:rsidRPr="002A1C6A">
        <w:rPr>
          <w:rFonts w:ascii="Times New Roman" w:hAnsi="Times New Roman" w:cs="Times New Roman"/>
          <w:color w:val="000000" w:themeColor="text1"/>
          <w:sz w:val="24"/>
          <w:szCs w:val="24"/>
        </w:rPr>
        <w:t>related  legislative</w:t>
      </w:r>
      <w:proofErr w:type="gramEnd"/>
      <w:r w:rsidRPr="002A1C6A">
        <w:rPr>
          <w:rFonts w:ascii="Times New Roman" w:hAnsi="Times New Roman" w:cs="Times New Roman"/>
          <w:color w:val="000000" w:themeColor="text1"/>
          <w:sz w:val="24"/>
          <w:szCs w:val="24"/>
        </w:rPr>
        <w:t xml:space="preserve">/regulatory framework in line with the requirements of the </w:t>
      </w:r>
      <w:r w:rsidR="009B4FE2" w:rsidRPr="002A1C6A">
        <w:rPr>
          <w:rFonts w:ascii="Times New Roman" w:hAnsi="Times New Roman" w:cs="Times New Roman"/>
          <w:color w:val="000000" w:themeColor="text1"/>
          <w:sz w:val="24"/>
          <w:szCs w:val="24"/>
        </w:rPr>
        <w:t>Trade Facilitation Agreement</w:t>
      </w:r>
      <w:r w:rsidRPr="002A1C6A">
        <w:rPr>
          <w:rFonts w:ascii="Times New Roman" w:hAnsi="Times New Roman" w:cs="Times New Roman"/>
          <w:color w:val="000000" w:themeColor="text1"/>
          <w:sz w:val="24"/>
          <w:szCs w:val="24"/>
        </w:rPr>
        <w:t xml:space="preserve">. These activities </w:t>
      </w:r>
      <w:proofErr w:type="gramStart"/>
      <w:r w:rsidRPr="002A1C6A">
        <w:rPr>
          <w:rFonts w:ascii="Times New Roman" w:hAnsi="Times New Roman" w:cs="Times New Roman"/>
          <w:color w:val="000000" w:themeColor="text1"/>
          <w:sz w:val="24"/>
          <w:szCs w:val="24"/>
        </w:rPr>
        <w:t>will be implemented</w:t>
      </w:r>
      <w:proofErr w:type="gramEnd"/>
      <w:r w:rsidRPr="002A1C6A">
        <w:rPr>
          <w:rFonts w:ascii="Times New Roman" w:hAnsi="Times New Roman" w:cs="Times New Roman"/>
          <w:color w:val="000000" w:themeColor="text1"/>
          <w:sz w:val="24"/>
          <w:szCs w:val="24"/>
        </w:rPr>
        <w:t xml:space="preserve"> in collaboration with Reade for Trade Central Asia R4TCA Project.</w:t>
      </w:r>
    </w:p>
    <w:p w:rsidR="008B3D53" w:rsidRPr="002A1C6A" w:rsidRDefault="008B3D53" w:rsidP="00357867">
      <w:pPr>
        <w:pStyle w:val="ListParagraph"/>
        <w:numPr>
          <w:ilvl w:val="0"/>
          <w:numId w:val="9"/>
        </w:numPr>
        <w:spacing w:before="100" w:beforeAutospacing="1" w:after="100" w:afterAutospacing="1" w:line="240" w:lineRule="auto"/>
        <w:jc w:val="both"/>
        <w:rPr>
          <w:rFonts w:ascii="Times New Roman" w:hAnsi="Times New Roman" w:cs="Times New Roman"/>
          <w:color w:val="000000" w:themeColor="text1"/>
          <w:sz w:val="24"/>
          <w:szCs w:val="24"/>
          <w:lang w:val="en-IE"/>
        </w:rPr>
      </w:pPr>
      <w:r w:rsidRPr="002A1C6A">
        <w:rPr>
          <w:rFonts w:ascii="Times New Roman" w:hAnsi="Times New Roman" w:cs="Times New Roman"/>
          <w:b/>
          <w:color w:val="000000" w:themeColor="text1"/>
          <w:sz w:val="24"/>
          <w:szCs w:val="24"/>
        </w:rPr>
        <w:t>Egypt</w:t>
      </w:r>
      <w:r w:rsidRPr="002A1C6A">
        <w:rPr>
          <w:rFonts w:ascii="Times New Roman" w:eastAsia="Calibri" w:hAnsi="Times New Roman" w:cs="Times New Roman"/>
          <w:color w:val="000000" w:themeColor="text1"/>
          <w:sz w:val="24"/>
          <w:szCs w:val="24"/>
          <w:lang w:eastAsia="fr-FR"/>
        </w:rPr>
        <w:t xml:space="preserve"> </w:t>
      </w:r>
      <w:proofErr w:type="gramStart"/>
      <w:r w:rsidRPr="002A1C6A">
        <w:rPr>
          <w:rFonts w:ascii="Times New Roman" w:hAnsi="Times New Roman" w:cs="Times New Roman"/>
          <w:color w:val="000000" w:themeColor="text1"/>
          <w:sz w:val="24"/>
          <w:szCs w:val="24"/>
          <w:lang w:val="en-IE"/>
        </w:rPr>
        <w:t>The</w:t>
      </w:r>
      <w:proofErr w:type="gramEnd"/>
      <w:r w:rsidRPr="002A1C6A">
        <w:rPr>
          <w:rFonts w:ascii="Times New Roman" w:hAnsi="Times New Roman" w:cs="Times New Roman"/>
          <w:color w:val="000000" w:themeColor="text1"/>
          <w:sz w:val="24"/>
          <w:szCs w:val="24"/>
          <w:lang w:val="en-IE"/>
        </w:rPr>
        <w:t xml:space="preserve"> EU’s Trade-Related Assistance to Egypt includes Technical Assistance to the Government of Egypt, notably the Ministry of Trade and Industry and its affiliated agencies, in the field of Trade Facilitation. Here below some examples:</w:t>
      </w:r>
    </w:p>
    <w:p w:rsidR="008B3D53" w:rsidRPr="002A1C6A" w:rsidRDefault="008B3D53" w:rsidP="009B4FE2">
      <w:pPr>
        <w:numPr>
          <w:ilvl w:val="0"/>
          <w:numId w:val="6"/>
        </w:numPr>
        <w:spacing w:before="100" w:beforeAutospacing="1" w:after="100" w:afterAutospacing="1" w:line="240" w:lineRule="auto"/>
        <w:jc w:val="both"/>
        <w:rPr>
          <w:rFonts w:ascii="Times New Roman" w:hAnsi="Times New Roman" w:cs="Times New Roman"/>
          <w:color w:val="000000" w:themeColor="text1"/>
          <w:sz w:val="24"/>
          <w:szCs w:val="24"/>
          <w:lang w:val="en-IE"/>
        </w:rPr>
      </w:pPr>
      <w:r w:rsidRPr="002A1C6A">
        <w:rPr>
          <w:rFonts w:ascii="Times New Roman" w:hAnsi="Times New Roman" w:cs="Times New Roman"/>
          <w:color w:val="000000" w:themeColor="text1"/>
          <w:sz w:val="24"/>
          <w:szCs w:val="24"/>
          <w:lang w:val="en-IE"/>
        </w:rPr>
        <w:t>The Trade and Domestic Market Enhancement Programme (TDMEP) implemented by the Egyptian Ministry of Trade and Industry (</w:t>
      </w:r>
      <w:proofErr w:type="spellStart"/>
      <w:r w:rsidRPr="002A1C6A">
        <w:rPr>
          <w:rFonts w:ascii="Times New Roman" w:hAnsi="Times New Roman" w:cs="Times New Roman"/>
          <w:color w:val="000000" w:themeColor="text1"/>
          <w:sz w:val="24"/>
          <w:szCs w:val="24"/>
          <w:lang w:val="en-IE"/>
        </w:rPr>
        <w:t>MoTI</w:t>
      </w:r>
      <w:proofErr w:type="spellEnd"/>
      <w:r w:rsidRPr="002A1C6A">
        <w:rPr>
          <w:rFonts w:ascii="Times New Roman" w:hAnsi="Times New Roman" w:cs="Times New Roman"/>
          <w:color w:val="000000" w:themeColor="text1"/>
          <w:sz w:val="24"/>
          <w:szCs w:val="24"/>
          <w:lang w:val="en-IE"/>
        </w:rPr>
        <w:t xml:space="preserve">) in 2015-2019 was the EU trade-related flagship programme that responded to the emerging Trade-related needs of the Government of Egypt in key areas including Trade Facilitation issues and the implementation of the WTO’s Trade Facilitation Agreement. With an overall budget of EUR 20 </w:t>
      </w:r>
      <w:proofErr w:type="gramStart"/>
      <w:r w:rsidRPr="002A1C6A">
        <w:rPr>
          <w:rFonts w:ascii="Times New Roman" w:hAnsi="Times New Roman" w:cs="Times New Roman"/>
          <w:color w:val="000000" w:themeColor="text1"/>
          <w:sz w:val="24"/>
          <w:szCs w:val="24"/>
          <w:lang w:val="en-IE"/>
        </w:rPr>
        <w:t>million</w:t>
      </w:r>
      <w:proofErr w:type="gramEnd"/>
      <w:r w:rsidRPr="002A1C6A">
        <w:rPr>
          <w:rFonts w:ascii="Times New Roman" w:hAnsi="Times New Roman" w:cs="Times New Roman"/>
          <w:color w:val="000000" w:themeColor="text1"/>
          <w:sz w:val="24"/>
          <w:szCs w:val="24"/>
          <w:lang w:val="en-IE"/>
        </w:rPr>
        <w:t xml:space="preserve">, TDPEM was structured around two components: 1) foreign trade and trade agreements, and 2) industrial policy and quality infrastructure. </w:t>
      </w:r>
    </w:p>
    <w:p w:rsidR="008B3D53" w:rsidRPr="002A1C6A" w:rsidRDefault="008B3D53" w:rsidP="009B4FE2">
      <w:pPr>
        <w:spacing w:before="100" w:beforeAutospacing="1" w:after="100" w:afterAutospacing="1" w:line="240" w:lineRule="auto"/>
        <w:ind w:left="720"/>
        <w:jc w:val="both"/>
        <w:rPr>
          <w:rFonts w:ascii="Times New Roman" w:hAnsi="Times New Roman" w:cs="Times New Roman"/>
          <w:color w:val="000000" w:themeColor="text1"/>
          <w:sz w:val="24"/>
          <w:szCs w:val="24"/>
          <w:lang w:val="en-IE"/>
        </w:rPr>
      </w:pPr>
      <w:r w:rsidRPr="002A1C6A">
        <w:rPr>
          <w:rFonts w:ascii="Times New Roman" w:hAnsi="Times New Roman" w:cs="Times New Roman"/>
          <w:color w:val="000000" w:themeColor="text1"/>
          <w:sz w:val="24"/>
          <w:szCs w:val="24"/>
          <w:lang w:val="en-IE"/>
        </w:rPr>
        <w:t xml:space="preserve">The first component provided support to improving rules and procedures related to foreign trade (import/export law, intellectual property rights law, trade remedies, trade facilitation, etc.) and to reinforcing </w:t>
      </w:r>
      <w:proofErr w:type="spellStart"/>
      <w:r w:rsidRPr="002A1C6A">
        <w:rPr>
          <w:rFonts w:ascii="Times New Roman" w:hAnsi="Times New Roman" w:cs="Times New Roman"/>
          <w:color w:val="000000" w:themeColor="text1"/>
          <w:sz w:val="24"/>
          <w:szCs w:val="24"/>
          <w:lang w:val="en-IE"/>
        </w:rPr>
        <w:t>MoTI’s</w:t>
      </w:r>
      <w:proofErr w:type="spellEnd"/>
      <w:r w:rsidRPr="002A1C6A">
        <w:rPr>
          <w:rFonts w:ascii="Times New Roman" w:hAnsi="Times New Roman" w:cs="Times New Roman"/>
          <w:color w:val="000000" w:themeColor="text1"/>
          <w:sz w:val="24"/>
          <w:szCs w:val="24"/>
          <w:lang w:val="en-IE"/>
        </w:rPr>
        <w:t xml:space="preserve"> capacity to build positions, negotiate trade agreements, and analyse implications of international agreements.</w:t>
      </w:r>
    </w:p>
    <w:p w:rsidR="008B3D53" w:rsidRPr="002A1C6A" w:rsidRDefault="008B3D53" w:rsidP="009B4FE2">
      <w:pPr>
        <w:spacing w:before="100" w:beforeAutospacing="1" w:after="100" w:afterAutospacing="1" w:line="240" w:lineRule="auto"/>
        <w:ind w:left="720"/>
        <w:jc w:val="both"/>
        <w:rPr>
          <w:rFonts w:ascii="Times New Roman" w:hAnsi="Times New Roman" w:cs="Times New Roman"/>
          <w:color w:val="000000" w:themeColor="text1"/>
          <w:sz w:val="24"/>
          <w:szCs w:val="24"/>
          <w:lang w:val="en-IE"/>
        </w:rPr>
      </w:pPr>
      <w:r w:rsidRPr="002A1C6A">
        <w:rPr>
          <w:rFonts w:ascii="Times New Roman" w:hAnsi="Times New Roman" w:cs="Times New Roman"/>
          <w:color w:val="000000" w:themeColor="text1"/>
          <w:sz w:val="24"/>
          <w:szCs w:val="24"/>
          <w:lang w:val="en-IE"/>
        </w:rPr>
        <w:t xml:space="preserve">As part of the TDMEP Component 1, a dedicated Technical Assistance project on Trade Policy and Trade Facilitation, worth EUR 6.41 million, was launched in 2015 </w:t>
      </w:r>
      <w:proofErr w:type="gramStart"/>
      <w:r w:rsidRPr="002A1C6A">
        <w:rPr>
          <w:rFonts w:ascii="Times New Roman" w:hAnsi="Times New Roman" w:cs="Times New Roman"/>
          <w:color w:val="000000" w:themeColor="text1"/>
          <w:sz w:val="24"/>
          <w:szCs w:val="24"/>
          <w:lang w:val="en-IE"/>
        </w:rPr>
        <w:t>in</w:t>
      </w:r>
      <w:proofErr w:type="gramEnd"/>
      <w:r w:rsidRPr="002A1C6A">
        <w:rPr>
          <w:rFonts w:ascii="Times New Roman" w:hAnsi="Times New Roman" w:cs="Times New Roman"/>
          <w:color w:val="000000" w:themeColor="text1"/>
          <w:sz w:val="24"/>
          <w:szCs w:val="24"/>
          <w:lang w:val="en-IE"/>
        </w:rPr>
        <w:t xml:space="preserve"> support the Government of Egypt’s Trade Facilitation-related needs for the period 2015-2019. Some of the deliverables of this specific Technical Assistance included:</w:t>
      </w:r>
    </w:p>
    <w:p w:rsidR="008B3D53" w:rsidRPr="002A1C6A" w:rsidRDefault="008B3D53" w:rsidP="009B4FE2">
      <w:pPr>
        <w:numPr>
          <w:ilvl w:val="0"/>
          <w:numId w:val="7"/>
        </w:numPr>
        <w:spacing w:before="100" w:beforeAutospacing="1" w:after="100" w:afterAutospacing="1" w:line="240" w:lineRule="auto"/>
        <w:jc w:val="both"/>
        <w:rPr>
          <w:rFonts w:ascii="Times New Roman" w:hAnsi="Times New Roman" w:cs="Times New Roman"/>
          <w:color w:val="000000" w:themeColor="text1"/>
          <w:sz w:val="24"/>
          <w:szCs w:val="24"/>
          <w:lang w:val="en-IE"/>
        </w:rPr>
      </w:pPr>
      <w:r w:rsidRPr="002A1C6A">
        <w:rPr>
          <w:rFonts w:ascii="Times New Roman" w:hAnsi="Times New Roman" w:cs="Times New Roman"/>
          <w:color w:val="000000" w:themeColor="text1"/>
          <w:sz w:val="24"/>
          <w:szCs w:val="24"/>
          <w:lang w:val="en-IE"/>
        </w:rPr>
        <w:t xml:space="preserve">The IT design for border import and export procedures including e-payment and e-forms. </w:t>
      </w:r>
    </w:p>
    <w:p w:rsidR="008B3D53" w:rsidRPr="002A1C6A" w:rsidRDefault="008B3D53" w:rsidP="009B4FE2">
      <w:pPr>
        <w:numPr>
          <w:ilvl w:val="0"/>
          <w:numId w:val="7"/>
        </w:numPr>
        <w:spacing w:before="100" w:beforeAutospacing="1" w:after="100" w:afterAutospacing="1" w:line="240" w:lineRule="auto"/>
        <w:jc w:val="both"/>
        <w:rPr>
          <w:rFonts w:ascii="Times New Roman" w:hAnsi="Times New Roman" w:cs="Times New Roman"/>
          <w:color w:val="000000" w:themeColor="text1"/>
          <w:sz w:val="24"/>
          <w:szCs w:val="24"/>
          <w:lang w:val="en-IE"/>
        </w:rPr>
      </w:pPr>
      <w:r w:rsidRPr="002A1C6A">
        <w:rPr>
          <w:rFonts w:ascii="Times New Roman" w:hAnsi="Times New Roman" w:cs="Times New Roman"/>
          <w:color w:val="000000" w:themeColor="text1"/>
          <w:sz w:val="24"/>
          <w:szCs w:val="24"/>
          <w:lang w:val="en-IE"/>
        </w:rPr>
        <w:t xml:space="preserve">The implementation of the National Single Window </w:t>
      </w:r>
    </w:p>
    <w:p w:rsidR="008B3D53" w:rsidRPr="002A1C6A" w:rsidRDefault="008B3D53" w:rsidP="009B4FE2">
      <w:pPr>
        <w:numPr>
          <w:ilvl w:val="0"/>
          <w:numId w:val="6"/>
        </w:numPr>
        <w:spacing w:before="100" w:beforeAutospacing="1" w:after="100" w:afterAutospacing="1" w:line="240" w:lineRule="auto"/>
        <w:jc w:val="both"/>
        <w:rPr>
          <w:rFonts w:ascii="Times New Roman" w:hAnsi="Times New Roman" w:cs="Times New Roman"/>
          <w:color w:val="000000" w:themeColor="text1"/>
          <w:sz w:val="24"/>
          <w:szCs w:val="24"/>
          <w:lang w:val="en-IE"/>
        </w:rPr>
      </w:pPr>
      <w:r w:rsidRPr="002A1C6A">
        <w:rPr>
          <w:rFonts w:ascii="Times New Roman" w:hAnsi="Times New Roman" w:cs="Times New Roman"/>
          <w:color w:val="000000" w:themeColor="text1"/>
          <w:sz w:val="24"/>
          <w:szCs w:val="24"/>
          <w:lang w:val="en-IE"/>
        </w:rPr>
        <w:t xml:space="preserve">Additionally, within the framework of the EU facility for Inclusive Growth and Job Creation in Egypt, a Twinning Program with the Egyptian Customs Authority (ECA), worth EUR 1.7 </w:t>
      </w:r>
      <w:proofErr w:type="gramStart"/>
      <w:r w:rsidRPr="002A1C6A">
        <w:rPr>
          <w:rFonts w:ascii="Times New Roman" w:hAnsi="Times New Roman" w:cs="Times New Roman"/>
          <w:color w:val="000000" w:themeColor="text1"/>
          <w:sz w:val="24"/>
          <w:szCs w:val="24"/>
          <w:lang w:val="en-IE"/>
        </w:rPr>
        <w:t>million</w:t>
      </w:r>
      <w:proofErr w:type="gramEnd"/>
      <w:r w:rsidRPr="002A1C6A">
        <w:rPr>
          <w:rFonts w:ascii="Times New Roman" w:hAnsi="Times New Roman" w:cs="Times New Roman"/>
          <w:color w:val="000000" w:themeColor="text1"/>
          <w:sz w:val="24"/>
          <w:szCs w:val="24"/>
          <w:lang w:val="en-IE"/>
        </w:rPr>
        <w:t>, is expected to start end of 2020. The project will contribute to simplify customs compliance requirements for businesses, including SMEs, to reduce customs bureaucracy for better trade facilitation, and to make the movement of goods across borders more efficient and predictable. The specific objective is to strengthen the administrative and operational capacities of the Egyptian Customs Authority (ECA) to perform more efficiently its core functions, by reducing bureaucracy and responding in an effective way to the needs of the trade community.</w:t>
      </w:r>
    </w:p>
    <w:p w:rsidR="008B3D53" w:rsidRPr="002A1C6A" w:rsidRDefault="008B3D53" w:rsidP="009B4FE2">
      <w:pPr>
        <w:spacing w:before="100" w:beforeAutospacing="1" w:after="100" w:afterAutospacing="1" w:line="240" w:lineRule="auto"/>
        <w:ind w:left="720"/>
        <w:jc w:val="both"/>
        <w:rPr>
          <w:rFonts w:ascii="Times New Roman" w:eastAsia="Times New Roman" w:hAnsi="Times New Roman" w:cs="Times New Roman"/>
          <w:b/>
          <w:color w:val="000000" w:themeColor="text1"/>
          <w:sz w:val="24"/>
          <w:szCs w:val="24"/>
          <w:lang w:eastAsia="fr-FR"/>
        </w:rPr>
      </w:pPr>
    </w:p>
    <w:p w:rsidR="00CD5EEA" w:rsidRPr="002A1C6A" w:rsidRDefault="00357867" w:rsidP="009B4FE2">
      <w:pPr>
        <w:spacing w:before="100" w:beforeAutospacing="1" w:after="100" w:afterAutospacing="1" w:line="240" w:lineRule="auto"/>
        <w:jc w:val="both"/>
        <w:rPr>
          <w:rFonts w:ascii="Times New Roman" w:hAnsi="Times New Roman" w:cs="Times New Roman"/>
          <w:i/>
          <w:color w:val="000000" w:themeColor="text1"/>
          <w:sz w:val="24"/>
          <w:szCs w:val="24"/>
        </w:rPr>
      </w:pPr>
    </w:p>
    <w:sectPr w:rsidR="00CD5EEA" w:rsidRPr="002A1C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D53" w:rsidRDefault="008B3D53" w:rsidP="008B3D53">
      <w:pPr>
        <w:spacing w:after="0" w:line="240" w:lineRule="auto"/>
      </w:pPr>
      <w:r>
        <w:separator/>
      </w:r>
    </w:p>
  </w:endnote>
  <w:endnote w:type="continuationSeparator" w:id="0">
    <w:p w:rsidR="008B3D53" w:rsidRDefault="008B3D53" w:rsidP="008B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D53" w:rsidRDefault="008B3D53" w:rsidP="008B3D53">
      <w:pPr>
        <w:spacing w:after="0" w:line="240" w:lineRule="auto"/>
      </w:pPr>
      <w:r>
        <w:separator/>
      </w:r>
    </w:p>
  </w:footnote>
  <w:footnote w:type="continuationSeparator" w:id="0">
    <w:p w:rsidR="008B3D53" w:rsidRDefault="008B3D53" w:rsidP="008B3D53">
      <w:pPr>
        <w:spacing w:after="0" w:line="240" w:lineRule="auto"/>
      </w:pPr>
      <w:r>
        <w:continuationSeparator/>
      </w:r>
    </w:p>
  </w:footnote>
  <w:footnote w:id="1">
    <w:p w:rsidR="008B3D53" w:rsidRPr="00D15E6F" w:rsidRDefault="008B3D53" w:rsidP="008B3D53">
      <w:pPr>
        <w:pStyle w:val="FootnoteText"/>
        <w:rPr>
          <w:lang w:val="en-IE"/>
        </w:rPr>
      </w:pPr>
      <w:r>
        <w:rPr>
          <w:rStyle w:val="FootnoteReference"/>
        </w:rPr>
        <w:footnoteRef/>
      </w:r>
      <w:r>
        <w:t xml:space="preserve"> </w:t>
      </w:r>
      <w:r>
        <w:rPr>
          <w:lang w:val="en-IE"/>
        </w:rPr>
        <w:t xml:space="preserve">See the EU Aid for Trade Progress Report 2020: </w:t>
      </w:r>
      <w:hyperlink r:id="rId1" w:history="1">
        <w:r w:rsidRPr="00224F99">
          <w:rPr>
            <w:rStyle w:val="Hyperlink"/>
            <w:lang w:val="en-IE"/>
          </w:rPr>
          <w:t>https://op.europa.eu/en/publication-detail/-/publication/f022db96-d854-11ea-adf7-01aa75ed71a1/language-en</w:t>
        </w:r>
      </w:hyperlink>
      <w:r>
        <w:rPr>
          <w:rStyle w:val="Hyperlink"/>
          <w:lang w:val="en-IE"/>
        </w:rPr>
        <w:t xml:space="preserve">; </w:t>
      </w:r>
      <w:r w:rsidRPr="00D15E6F">
        <w:t>p. 90</w:t>
      </w:r>
      <w:r>
        <w:rPr>
          <w:lang w:val="en-IE"/>
        </w:rPr>
        <w:t xml:space="preserve"> </w:t>
      </w:r>
    </w:p>
    <w:p w:rsidR="008B3D53" w:rsidRPr="00D15E6F" w:rsidRDefault="008B3D53" w:rsidP="008B3D53">
      <w:pPr>
        <w:pStyle w:val="FootnoteText"/>
      </w:pPr>
    </w:p>
  </w:footnote>
  <w:footnote w:id="2">
    <w:p w:rsidR="008B3D53" w:rsidRPr="002D6989" w:rsidRDefault="008B3D53" w:rsidP="008B3D53">
      <w:pPr>
        <w:pStyle w:val="FootnoteText"/>
      </w:pPr>
      <w:r>
        <w:rPr>
          <w:rStyle w:val="FootnoteReference"/>
        </w:rPr>
        <w:footnoteRef/>
      </w:r>
      <w:r>
        <w:t xml:space="preserve"> </w:t>
      </w:r>
      <w:r>
        <w:rPr>
          <w:lang w:val="en-IE"/>
        </w:rPr>
        <w:t xml:space="preserve">Under the </w:t>
      </w:r>
      <w:proofErr w:type="gramStart"/>
      <w:r>
        <w:rPr>
          <w:lang w:val="en-IE"/>
        </w:rPr>
        <w:t>DAC</w:t>
      </w:r>
      <w:proofErr w:type="gramEnd"/>
      <w:r>
        <w:rPr>
          <w:lang w:val="en-IE"/>
        </w:rPr>
        <w:t xml:space="preserve"> purpose code 33120. See the EU Aid for Trade Progress Report 2020: </w:t>
      </w:r>
      <w:hyperlink r:id="rId2" w:history="1">
        <w:r w:rsidRPr="00224F99">
          <w:rPr>
            <w:rStyle w:val="Hyperlink"/>
            <w:lang w:val="en-IE"/>
          </w:rPr>
          <w:t>https://op.europa.eu/en/publication-detail/-/publication/f022db96-d854-11ea-adf7-01aa75ed71a1/language-en</w:t>
        </w:r>
      </w:hyperlink>
      <w:r>
        <w:rPr>
          <w:lang w:val="en-IE"/>
        </w:rPr>
        <w:t xml:space="preserve"> </w:t>
      </w:r>
    </w:p>
  </w:footnote>
  <w:footnote w:id="3">
    <w:p w:rsidR="008B3D53" w:rsidRPr="00A82D41" w:rsidRDefault="008B3D53" w:rsidP="008B3D53">
      <w:pPr>
        <w:pStyle w:val="FootnoteText"/>
        <w:rPr>
          <w:lang w:val="en-IE"/>
        </w:rPr>
      </w:pPr>
      <w:r>
        <w:rPr>
          <w:rStyle w:val="FootnoteReference"/>
        </w:rPr>
        <w:footnoteRef/>
      </w:r>
      <w:r>
        <w:t xml:space="preserve"> </w:t>
      </w:r>
      <w:r>
        <w:rPr>
          <w:lang w:val="en-IE"/>
        </w:rPr>
        <w:t xml:space="preserve">Total world volume TF: </w:t>
      </w:r>
      <w:r w:rsidRPr="004357B3">
        <w:rPr>
          <w:rFonts w:ascii="Times New Roman" w:hAnsi="Times New Roman" w:cs="Times New Roman"/>
        </w:rPr>
        <w:t>EUR 567 million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35E2D"/>
    <w:multiLevelType w:val="hybridMultilevel"/>
    <w:tmpl w:val="7EE44F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316E64"/>
    <w:multiLevelType w:val="hybridMultilevel"/>
    <w:tmpl w:val="81ECDB12"/>
    <w:lvl w:ilvl="0" w:tplc="2658546E">
      <w:start w:val="1"/>
      <w:numFmt w:val="decimal"/>
      <w:lvlText w:val="%1."/>
      <w:lvlJc w:val="left"/>
      <w:pPr>
        <w:ind w:left="720" w:hanging="360"/>
      </w:pPr>
      <w:rPr>
        <w:rFonts w:ascii="Times New Roman" w:eastAsia="Calibri" w:hAnsi="Times New Roman" w:cs="Times New Roman" w:hint="default"/>
        <w:b/>
        <w:color w:val="FF0000"/>
        <w:w w:val="105"/>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B63B5"/>
    <w:multiLevelType w:val="hybridMultilevel"/>
    <w:tmpl w:val="B1163874"/>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58508E2"/>
    <w:multiLevelType w:val="hybridMultilevel"/>
    <w:tmpl w:val="F6D04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5C5BA6"/>
    <w:multiLevelType w:val="hybridMultilevel"/>
    <w:tmpl w:val="F03CC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015EF7"/>
    <w:multiLevelType w:val="hybridMultilevel"/>
    <w:tmpl w:val="FEFCB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2B0E73"/>
    <w:multiLevelType w:val="hybridMultilevel"/>
    <w:tmpl w:val="804446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6D17BB9"/>
    <w:multiLevelType w:val="hybridMultilevel"/>
    <w:tmpl w:val="5252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B951AF"/>
    <w:multiLevelType w:val="hybridMultilevel"/>
    <w:tmpl w:val="CD94534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5"/>
  </w:num>
  <w:num w:numId="5">
    <w:abstractNumId w:val="1"/>
  </w:num>
  <w:num w:numId="6">
    <w:abstractNumId w:val="8"/>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B3D53"/>
    <w:rsid w:val="002A1C6A"/>
    <w:rsid w:val="00357867"/>
    <w:rsid w:val="003862C7"/>
    <w:rsid w:val="00452539"/>
    <w:rsid w:val="004B0836"/>
    <w:rsid w:val="007752B3"/>
    <w:rsid w:val="00893937"/>
    <w:rsid w:val="008A4768"/>
    <w:rsid w:val="008B3D53"/>
    <w:rsid w:val="009B4FE2"/>
    <w:rsid w:val="00CC334F"/>
    <w:rsid w:val="00DB0EDC"/>
    <w:rsid w:val="00E46B80"/>
    <w:rsid w:val="00E9359C"/>
    <w:rsid w:val="00F80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4918"/>
  <w15:chartTrackingRefBased/>
  <w15:docId w15:val="{61805081-B44B-4CA8-A47E-513CBA14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D5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3D53"/>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aliases w:val="Paragraphe de liste PBLH,List Paragraph (numbered (a)),List Bullet Mary,References,Liste 1,ReferencesCxSpLast,Bullets,List Paragraph1,Medium Grid 1 - Accent 21,List Paragraph nowy,Numbered List Paragraph,Texte Général,Paragraphe  revu,lp1"/>
    <w:basedOn w:val="Normal"/>
    <w:link w:val="ListParagraphChar"/>
    <w:uiPriority w:val="34"/>
    <w:qFormat/>
    <w:rsid w:val="008B3D53"/>
    <w:pPr>
      <w:ind w:left="720"/>
      <w:contextualSpacing/>
    </w:pPr>
  </w:style>
  <w:style w:type="paragraph" w:styleId="FootnoteText">
    <w:name w:val="footnote text"/>
    <w:basedOn w:val="Normal"/>
    <w:link w:val="FootnoteTextChar"/>
    <w:uiPriority w:val="99"/>
    <w:semiHidden/>
    <w:unhideWhenUsed/>
    <w:rsid w:val="008B3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3D53"/>
    <w:rPr>
      <w:sz w:val="20"/>
      <w:szCs w:val="20"/>
    </w:rPr>
  </w:style>
  <w:style w:type="character" w:styleId="FootnoteReference">
    <w:name w:val="footnote reference"/>
    <w:basedOn w:val="DefaultParagraphFont"/>
    <w:uiPriority w:val="99"/>
    <w:semiHidden/>
    <w:unhideWhenUsed/>
    <w:rsid w:val="008B3D53"/>
    <w:rPr>
      <w:vertAlign w:val="superscript"/>
    </w:rPr>
  </w:style>
  <w:style w:type="character" w:styleId="Hyperlink">
    <w:name w:val="Hyperlink"/>
    <w:basedOn w:val="DefaultParagraphFont"/>
    <w:uiPriority w:val="99"/>
    <w:unhideWhenUsed/>
    <w:rsid w:val="008B3D53"/>
    <w:rPr>
      <w:color w:val="0000FF"/>
      <w:u w:val="single"/>
    </w:rPr>
  </w:style>
  <w:style w:type="character" w:customStyle="1" w:styleId="ListParagraphChar">
    <w:name w:val="List Paragraph Char"/>
    <w:aliases w:val="Paragraphe de liste PBLH Char,List Paragraph (numbered (a)) Char,List Bullet Mary Char,References Char,Liste 1 Char,ReferencesCxSpLast Char,Bullets Char,List Paragraph1 Char,Medium Grid 1 - Accent 21 Char,List Paragraph nowy Char"/>
    <w:link w:val="ListParagraph"/>
    <w:uiPriority w:val="34"/>
    <w:qFormat/>
    <w:locked/>
    <w:rsid w:val="008B3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p.europa.eu/en/publication-detail/-/publication/f022db96-d854-11ea-adf7-01aa75ed71a1/language-en" TargetMode="External"/><Relationship Id="rId1" Type="http://schemas.openxmlformats.org/officeDocument/2006/relationships/hyperlink" Target="https://op.europa.eu/en/publication-detail/-/publication/f022db96-d854-11ea-adf7-01aa75ed71a1/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B7818-E62C-4DCB-B30C-21D703F1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1749</Words>
  <Characters>9711</Characters>
  <Application>Microsoft Office Word</Application>
  <DocSecurity>4</DocSecurity>
  <Lines>154</Lines>
  <Paragraphs>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PITURA Malgorzata (DEVCO)</dc:creator>
  <cp:keywords/>
  <dc:description/>
  <cp:lastModifiedBy>GRUTSCHREIBER Kristina (EEAS-GENEVA)</cp:lastModifiedBy>
  <cp:revision>2</cp:revision>
  <dcterms:created xsi:type="dcterms:W3CDTF">2020-10-29T12:15:00Z</dcterms:created>
  <dcterms:modified xsi:type="dcterms:W3CDTF">2020-10-29T12:15:00Z</dcterms:modified>
</cp:coreProperties>
</file>