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0C9" w:rsidRPr="00CF4155" w:rsidRDefault="0058691A" w:rsidP="0058691A">
      <w:pPr>
        <w:pStyle w:val="NormalWeb"/>
        <w:shd w:val="clear" w:color="auto" w:fill="FFFFFF"/>
        <w:spacing w:after="240"/>
        <w:jc w:val="both"/>
        <w:rPr>
          <w:sz w:val="28"/>
          <w:szCs w:val="28"/>
          <w:lang w:val="en-US"/>
        </w:rPr>
      </w:pPr>
      <w:bookmarkStart w:id="0" w:name="_GoBack"/>
      <w:bookmarkEnd w:id="0"/>
      <w:r w:rsidRPr="00CF4155">
        <w:rPr>
          <w:bCs/>
          <w:sz w:val="28"/>
          <w:szCs w:val="28"/>
          <w:lang w:val="en-US"/>
        </w:rPr>
        <w:t xml:space="preserve">The state customs service of </w:t>
      </w:r>
      <w:r w:rsidR="00CF4155" w:rsidRPr="00CF4155">
        <w:rPr>
          <w:bCs/>
          <w:sz w:val="28"/>
          <w:szCs w:val="28"/>
          <w:lang w:val="en-US"/>
        </w:rPr>
        <w:t>Ukraine</w:t>
      </w:r>
      <w:r w:rsidRPr="00CF4155">
        <w:rPr>
          <w:bCs/>
          <w:sz w:val="28"/>
          <w:szCs w:val="28"/>
          <w:lang w:val="en-US"/>
        </w:rPr>
        <w:t xml:space="preserve"> is a central e</w:t>
      </w:r>
      <w:r w:rsidR="00CF4155" w:rsidRPr="00CF4155">
        <w:rPr>
          <w:bCs/>
          <w:sz w:val="28"/>
          <w:szCs w:val="28"/>
          <w:lang w:val="en-US"/>
        </w:rPr>
        <w:t>xecutive body in Ukraine since D</w:t>
      </w:r>
      <w:r w:rsidRPr="00CF4155">
        <w:rPr>
          <w:bCs/>
          <w:sz w:val="28"/>
          <w:szCs w:val="28"/>
          <w:lang w:val="en-US"/>
        </w:rPr>
        <w:t>ecember 2019.</w:t>
      </w:r>
    </w:p>
    <w:p w:rsidR="001C48E9" w:rsidRPr="00CF4155" w:rsidRDefault="0058691A" w:rsidP="0058691A">
      <w:pPr>
        <w:pStyle w:val="NormalWeb"/>
        <w:shd w:val="clear" w:color="auto" w:fill="FFFFFF"/>
        <w:spacing w:before="0" w:beforeAutospacing="0" w:after="240" w:afterAutospacing="0"/>
        <w:jc w:val="both"/>
        <w:rPr>
          <w:sz w:val="28"/>
          <w:szCs w:val="28"/>
          <w:lang w:val="en-US"/>
        </w:rPr>
      </w:pPr>
      <w:r w:rsidRPr="00CF4155">
        <w:rPr>
          <w:sz w:val="28"/>
          <w:szCs w:val="28"/>
          <w:lang w:val="en-US"/>
        </w:rPr>
        <w:t xml:space="preserve">the juridical person </w:t>
      </w:r>
      <w:r w:rsidR="00CF4155" w:rsidRPr="00CF4155">
        <w:rPr>
          <w:sz w:val="28"/>
          <w:szCs w:val="28"/>
          <w:lang w:val="en-US"/>
        </w:rPr>
        <w:t>was created by division of the S</w:t>
      </w:r>
      <w:r w:rsidRPr="00CF4155">
        <w:rPr>
          <w:sz w:val="28"/>
          <w:szCs w:val="28"/>
          <w:lang w:val="en-US"/>
        </w:rPr>
        <w:t xml:space="preserve">tate </w:t>
      </w:r>
      <w:r w:rsidR="00CF4155" w:rsidRPr="00CF4155">
        <w:rPr>
          <w:sz w:val="28"/>
          <w:szCs w:val="28"/>
          <w:lang w:val="en-US"/>
        </w:rPr>
        <w:t>F</w:t>
      </w:r>
      <w:r w:rsidRPr="00CF4155">
        <w:rPr>
          <w:sz w:val="28"/>
          <w:szCs w:val="28"/>
          <w:lang w:val="en-US"/>
        </w:rPr>
        <w:t xml:space="preserve">iscal </w:t>
      </w:r>
      <w:r w:rsidR="00CF4155" w:rsidRPr="00CF4155">
        <w:rPr>
          <w:sz w:val="28"/>
          <w:szCs w:val="28"/>
          <w:lang w:val="en-US"/>
        </w:rPr>
        <w:t>S</w:t>
      </w:r>
      <w:r w:rsidRPr="00CF4155">
        <w:rPr>
          <w:sz w:val="28"/>
          <w:szCs w:val="28"/>
          <w:lang w:val="en-US"/>
        </w:rPr>
        <w:t xml:space="preserve">ervice of </w:t>
      </w:r>
      <w:r w:rsidR="00CF4155" w:rsidRPr="00CF4155">
        <w:rPr>
          <w:sz w:val="28"/>
          <w:szCs w:val="28"/>
          <w:lang w:val="en-US"/>
        </w:rPr>
        <w:t>Ukraine</w:t>
      </w:r>
      <w:r w:rsidRPr="00CF4155">
        <w:rPr>
          <w:sz w:val="28"/>
          <w:szCs w:val="28"/>
          <w:lang w:val="en-US"/>
        </w:rPr>
        <w:t xml:space="preserve"> on the </w:t>
      </w:r>
      <w:r w:rsidR="00CF4155" w:rsidRPr="00CF4155">
        <w:rPr>
          <w:sz w:val="28"/>
          <w:szCs w:val="28"/>
          <w:lang w:val="en-US"/>
        </w:rPr>
        <w:t>S</w:t>
      </w:r>
      <w:r w:rsidRPr="00CF4155">
        <w:rPr>
          <w:sz w:val="28"/>
          <w:szCs w:val="28"/>
          <w:lang w:val="en-US"/>
        </w:rPr>
        <w:t xml:space="preserve">tate </w:t>
      </w:r>
      <w:r w:rsidR="00CF4155" w:rsidRPr="00CF4155">
        <w:rPr>
          <w:sz w:val="28"/>
          <w:szCs w:val="28"/>
          <w:lang w:val="en-US"/>
        </w:rPr>
        <w:t>C</w:t>
      </w:r>
      <w:r w:rsidRPr="00CF4155">
        <w:rPr>
          <w:sz w:val="28"/>
          <w:szCs w:val="28"/>
          <w:lang w:val="en-US"/>
        </w:rPr>
        <w:t xml:space="preserve">ustoms </w:t>
      </w:r>
      <w:r w:rsidR="00CF4155" w:rsidRPr="00CF4155">
        <w:rPr>
          <w:sz w:val="28"/>
          <w:szCs w:val="28"/>
          <w:lang w:val="en-US"/>
        </w:rPr>
        <w:t>S</w:t>
      </w:r>
      <w:r w:rsidRPr="00CF4155">
        <w:rPr>
          <w:sz w:val="28"/>
          <w:szCs w:val="28"/>
          <w:lang w:val="en-US"/>
        </w:rPr>
        <w:t xml:space="preserve">ervice of </w:t>
      </w:r>
      <w:r w:rsidR="00CF4155" w:rsidRPr="00CF4155">
        <w:rPr>
          <w:sz w:val="28"/>
          <w:szCs w:val="28"/>
          <w:lang w:val="en-US"/>
        </w:rPr>
        <w:t>Ukraine and the S</w:t>
      </w:r>
      <w:r w:rsidRPr="00CF4155">
        <w:rPr>
          <w:sz w:val="28"/>
          <w:szCs w:val="28"/>
          <w:lang w:val="en-US"/>
        </w:rPr>
        <w:t xml:space="preserve">tate </w:t>
      </w:r>
      <w:r w:rsidR="00CF4155" w:rsidRPr="00CF4155">
        <w:rPr>
          <w:sz w:val="28"/>
          <w:szCs w:val="28"/>
          <w:lang w:val="en-US"/>
        </w:rPr>
        <w:t>Tax S</w:t>
      </w:r>
      <w:r w:rsidRPr="00CF4155">
        <w:rPr>
          <w:sz w:val="28"/>
          <w:szCs w:val="28"/>
          <w:lang w:val="en-US"/>
        </w:rPr>
        <w:t xml:space="preserve">ervice of </w:t>
      </w:r>
      <w:r w:rsidR="00CF4155" w:rsidRPr="00CF4155">
        <w:rPr>
          <w:sz w:val="28"/>
          <w:szCs w:val="28"/>
          <w:lang w:val="en-US"/>
        </w:rPr>
        <w:t>Ukraine</w:t>
      </w:r>
      <w:r w:rsidRPr="00CF4155">
        <w:rPr>
          <w:sz w:val="28"/>
          <w:szCs w:val="28"/>
          <w:lang w:val="en-US"/>
        </w:rPr>
        <w:t>.</w:t>
      </w:r>
    </w:p>
    <w:p w:rsidR="001C48E9" w:rsidRPr="00CF4155" w:rsidRDefault="00CF4155" w:rsidP="0058691A">
      <w:pPr>
        <w:pStyle w:val="NormalWeb"/>
        <w:shd w:val="clear" w:color="auto" w:fill="FFFFFF"/>
        <w:spacing w:before="0" w:after="240"/>
        <w:jc w:val="both"/>
        <w:rPr>
          <w:b/>
          <w:sz w:val="28"/>
          <w:szCs w:val="28"/>
          <w:lang w:val="en-US"/>
        </w:rPr>
      </w:pPr>
      <w:r w:rsidRPr="00CF4155">
        <w:rPr>
          <w:b/>
          <w:bCs/>
          <w:sz w:val="28"/>
          <w:szCs w:val="28"/>
          <w:lang w:val="en-US"/>
        </w:rPr>
        <w:t>A</w:t>
      </w:r>
      <w:r w:rsidR="0058691A" w:rsidRPr="00CF4155">
        <w:rPr>
          <w:b/>
          <w:bCs/>
          <w:sz w:val="28"/>
          <w:szCs w:val="28"/>
          <w:lang w:val="en-US"/>
        </w:rPr>
        <w:t xml:space="preserve">dvance rulings are available for tree customs matters in </w:t>
      </w:r>
      <w:r w:rsidRPr="00CF4155">
        <w:rPr>
          <w:b/>
          <w:bCs/>
          <w:sz w:val="28"/>
          <w:szCs w:val="28"/>
          <w:lang w:val="en-US"/>
        </w:rPr>
        <w:t>Ukraine</w:t>
      </w:r>
      <w:r w:rsidR="0058691A" w:rsidRPr="00CF4155">
        <w:rPr>
          <w:b/>
          <w:bCs/>
          <w:sz w:val="28"/>
          <w:szCs w:val="28"/>
          <w:lang w:val="en-US"/>
        </w:rPr>
        <w:t xml:space="preserve">: </w:t>
      </w:r>
    </w:p>
    <w:p w:rsidR="001C48E9" w:rsidRPr="00CF4155" w:rsidRDefault="0058691A" w:rsidP="0058691A">
      <w:pPr>
        <w:pStyle w:val="NormalWeb"/>
        <w:numPr>
          <w:ilvl w:val="0"/>
          <w:numId w:val="10"/>
        </w:numPr>
        <w:shd w:val="clear" w:color="auto" w:fill="FFFFFF"/>
        <w:spacing w:before="0" w:after="240"/>
        <w:jc w:val="both"/>
        <w:rPr>
          <w:sz w:val="28"/>
          <w:szCs w:val="28"/>
          <w:lang w:val="en-US"/>
        </w:rPr>
      </w:pPr>
      <w:r w:rsidRPr="00CF4155">
        <w:rPr>
          <w:bCs/>
          <w:sz w:val="28"/>
          <w:szCs w:val="28"/>
          <w:lang w:val="en-US"/>
        </w:rPr>
        <w:t>the good's tariff classification;</w:t>
      </w:r>
    </w:p>
    <w:p w:rsidR="008771D5" w:rsidRPr="00CF4155" w:rsidRDefault="0058691A" w:rsidP="0058691A">
      <w:pPr>
        <w:pStyle w:val="NormalWeb"/>
        <w:numPr>
          <w:ilvl w:val="0"/>
          <w:numId w:val="10"/>
        </w:numPr>
        <w:shd w:val="clear" w:color="auto" w:fill="FFFFFF"/>
        <w:spacing w:before="0" w:after="240"/>
        <w:jc w:val="both"/>
        <w:rPr>
          <w:sz w:val="28"/>
          <w:szCs w:val="28"/>
          <w:lang w:val="en-US"/>
        </w:rPr>
      </w:pPr>
      <w:r w:rsidRPr="00CF4155">
        <w:rPr>
          <w:bCs/>
          <w:sz w:val="28"/>
          <w:szCs w:val="28"/>
          <w:lang w:val="en-US"/>
        </w:rPr>
        <w:t>granting permission to place goods under separate customs regimes.</w:t>
      </w:r>
    </w:p>
    <w:p w:rsidR="008771D5" w:rsidRPr="00CF4155" w:rsidRDefault="0058691A" w:rsidP="0058691A">
      <w:pPr>
        <w:pStyle w:val="NormalWeb"/>
        <w:numPr>
          <w:ilvl w:val="0"/>
          <w:numId w:val="10"/>
        </w:numPr>
        <w:shd w:val="clear" w:color="auto" w:fill="FFFFFF"/>
        <w:spacing w:before="0" w:after="240"/>
        <w:jc w:val="both"/>
        <w:rPr>
          <w:sz w:val="28"/>
          <w:szCs w:val="28"/>
          <w:lang w:val="en-US"/>
        </w:rPr>
      </w:pPr>
      <w:r w:rsidRPr="00CF4155">
        <w:rPr>
          <w:bCs/>
          <w:sz w:val="28"/>
          <w:szCs w:val="28"/>
          <w:lang w:val="en-US"/>
        </w:rPr>
        <w:t>the origin of the good;</w:t>
      </w:r>
      <w:bookmarkStart w:id="1" w:name="n89"/>
      <w:bookmarkEnd w:id="1"/>
      <w:r w:rsidRPr="00CF4155">
        <w:rPr>
          <w:bCs/>
          <w:sz w:val="28"/>
          <w:szCs w:val="28"/>
          <w:lang w:val="en-US"/>
        </w:rPr>
        <w:t xml:space="preserve"> </w:t>
      </w:r>
    </w:p>
    <w:p w:rsidR="001C48E9" w:rsidRPr="00CF4155" w:rsidRDefault="00CF4155" w:rsidP="0058691A">
      <w:pPr>
        <w:pStyle w:val="NormalWeb"/>
        <w:shd w:val="clear" w:color="auto" w:fill="FFFFFF"/>
        <w:spacing w:before="0" w:after="240"/>
        <w:jc w:val="both"/>
        <w:rPr>
          <w:b/>
          <w:sz w:val="28"/>
          <w:szCs w:val="28"/>
          <w:lang w:val="en-US"/>
        </w:rPr>
      </w:pPr>
      <w:r w:rsidRPr="00CF4155">
        <w:rPr>
          <w:b/>
          <w:bCs/>
          <w:sz w:val="28"/>
          <w:szCs w:val="28"/>
          <w:lang w:val="en-US"/>
        </w:rPr>
        <w:t>T</w:t>
      </w:r>
      <w:r w:rsidR="0058691A" w:rsidRPr="00CF4155">
        <w:rPr>
          <w:b/>
          <w:bCs/>
          <w:sz w:val="28"/>
          <w:szCs w:val="28"/>
          <w:lang w:val="en-US"/>
        </w:rPr>
        <w:t>erms</w:t>
      </w:r>
    </w:p>
    <w:p w:rsidR="001C48E9" w:rsidRPr="00CF4155" w:rsidRDefault="0058691A" w:rsidP="0058691A">
      <w:pPr>
        <w:pStyle w:val="NormalWeb"/>
        <w:numPr>
          <w:ilvl w:val="0"/>
          <w:numId w:val="9"/>
        </w:numPr>
        <w:shd w:val="clear" w:color="auto" w:fill="FFFFFF"/>
        <w:spacing w:after="240"/>
        <w:jc w:val="both"/>
        <w:rPr>
          <w:sz w:val="28"/>
          <w:szCs w:val="28"/>
          <w:lang w:val="en-US"/>
        </w:rPr>
      </w:pPr>
      <w:r w:rsidRPr="00CF4155">
        <w:rPr>
          <w:sz w:val="28"/>
          <w:szCs w:val="28"/>
          <w:lang w:val="en-US"/>
        </w:rPr>
        <w:t>acceptance period is 30 days</w:t>
      </w:r>
    </w:p>
    <w:p w:rsidR="001C48E9" w:rsidRPr="00CF4155" w:rsidRDefault="0058691A" w:rsidP="0058691A">
      <w:pPr>
        <w:pStyle w:val="NormalWeb"/>
        <w:numPr>
          <w:ilvl w:val="0"/>
          <w:numId w:val="9"/>
        </w:numPr>
        <w:shd w:val="clear" w:color="auto" w:fill="FFFFFF"/>
        <w:spacing w:before="0" w:after="240"/>
        <w:jc w:val="both"/>
        <w:rPr>
          <w:sz w:val="28"/>
          <w:szCs w:val="28"/>
          <w:lang w:val="en-US"/>
        </w:rPr>
      </w:pPr>
      <w:r w:rsidRPr="00CF4155">
        <w:rPr>
          <w:sz w:val="28"/>
          <w:szCs w:val="28"/>
          <w:lang w:val="en-US"/>
        </w:rPr>
        <w:t>valid for 3 years;</w:t>
      </w:r>
    </w:p>
    <w:p w:rsidR="001C48E9" w:rsidRPr="00CF4155" w:rsidRDefault="00CF4155" w:rsidP="0058691A">
      <w:pPr>
        <w:pStyle w:val="NormalWeb"/>
        <w:shd w:val="clear" w:color="auto" w:fill="FFFFFF"/>
        <w:spacing w:before="0" w:after="240"/>
        <w:jc w:val="both"/>
        <w:rPr>
          <w:b/>
          <w:sz w:val="28"/>
          <w:szCs w:val="28"/>
          <w:lang w:val="en-US"/>
        </w:rPr>
      </w:pPr>
      <w:r w:rsidRPr="00CF4155">
        <w:rPr>
          <w:b/>
          <w:bCs/>
          <w:sz w:val="28"/>
          <w:szCs w:val="28"/>
          <w:lang w:val="en-US"/>
        </w:rPr>
        <w:t>I</w:t>
      </w:r>
      <w:r w:rsidR="0058691A" w:rsidRPr="00CF4155">
        <w:rPr>
          <w:b/>
          <w:bCs/>
          <w:sz w:val="28"/>
          <w:szCs w:val="28"/>
          <w:lang w:val="en-US"/>
        </w:rPr>
        <w:t>nvalidation</w:t>
      </w:r>
    </w:p>
    <w:p w:rsidR="00A271F9" w:rsidRPr="00CF4155" w:rsidRDefault="0058691A" w:rsidP="0058691A">
      <w:pPr>
        <w:pStyle w:val="NormalWeb"/>
        <w:numPr>
          <w:ilvl w:val="0"/>
          <w:numId w:val="8"/>
        </w:numPr>
        <w:shd w:val="clear" w:color="auto" w:fill="FFFFFF"/>
        <w:spacing w:before="0" w:after="240"/>
        <w:jc w:val="both"/>
        <w:rPr>
          <w:sz w:val="28"/>
          <w:szCs w:val="28"/>
          <w:lang w:val="en-US"/>
        </w:rPr>
      </w:pPr>
      <w:r w:rsidRPr="00CF4155">
        <w:rPr>
          <w:sz w:val="28"/>
          <w:szCs w:val="28"/>
          <w:lang w:val="en-US"/>
        </w:rPr>
        <w:t>no fee is charged to issue an advance ruling;</w:t>
      </w:r>
    </w:p>
    <w:p w:rsidR="001C48E9" w:rsidRPr="00CF4155" w:rsidRDefault="0058691A" w:rsidP="0058691A">
      <w:pPr>
        <w:pStyle w:val="NormalWeb"/>
        <w:numPr>
          <w:ilvl w:val="0"/>
          <w:numId w:val="8"/>
        </w:numPr>
        <w:shd w:val="clear" w:color="auto" w:fill="FFFFFF"/>
        <w:spacing w:before="0" w:after="240"/>
        <w:jc w:val="both"/>
        <w:rPr>
          <w:sz w:val="28"/>
          <w:szCs w:val="28"/>
          <w:lang w:val="en-US"/>
        </w:rPr>
      </w:pPr>
      <w:r w:rsidRPr="00CF4155">
        <w:rPr>
          <w:sz w:val="28"/>
          <w:szCs w:val="28"/>
          <w:lang w:val="en-US"/>
        </w:rPr>
        <w:t xml:space="preserve">more than 3 years since the issuance; </w:t>
      </w:r>
    </w:p>
    <w:p w:rsidR="001C48E9" w:rsidRPr="00CF4155" w:rsidRDefault="0058691A" w:rsidP="0058691A">
      <w:pPr>
        <w:pStyle w:val="NormalWeb"/>
        <w:numPr>
          <w:ilvl w:val="0"/>
          <w:numId w:val="8"/>
        </w:numPr>
        <w:shd w:val="clear" w:color="auto" w:fill="FFFFFF"/>
        <w:spacing w:before="0" w:after="240"/>
        <w:jc w:val="both"/>
        <w:rPr>
          <w:sz w:val="28"/>
          <w:szCs w:val="28"/>
          <w:lang w:val="en-US"/>
        </w:rPr>
      </w:pPr>
      <w:r w:rsidRPr="00CF4155">
        <w:rPr>
          <w:sz w:val="28"/>
          <w:szCs w:val="28"/>
          <w:lang w:val="en-US"/>
        </w:rPr>
        <w:t>differences of descriptions from actually declared goods;</w:t>
      </w:r>
    </w:p>
    <w:p w:rsidR="001C48E9" w:rsidRPr="00CF4155" w:rsidRDefault="0058691A" w:rsidP="0058691A">
      <w:pPr>
        <w:pStyle w:val="NormalWeb"/>
        <w:numPr>
          <w:ilvl w:val="0"/>
          <w:numId w:val="8"/>
        </w:numPr>
        <w:shd w:val="clear" w:color="auto" w:fill="FFFFFF"/>
        <w:spacing w:before="0" w:after="240"/>
        <w:jc w:val="both"/>
        <w:rPr>
          <w:sz w:val="28"/>
          <w:szCs w:val="28"/>
          <w:lang w:val="en-US"/>
        </w:rPr>
      </w:pPr>
      <w:r w:rsidRPr="00CF4155">
        <w:rPr>
          <w:sz w:val="28"/>
          <w:szCs w:val="28"/>
          <w:lang w:val="en-US"/>
        </w:rPr>
        <w:t>revisions of the related laws or regulations.</w:t>
      </w:r>
    </w:p>
    <w:p w:rsidR="00A271F9" w:rsidRPr="00CF4155" w:rsidRDefault="0058691A" w:rsidP="0058691A">
      <w:pPr>
        <w:pStyle w:val="NormalWeb"/>
        <w:numPr>
          <w:ilvl w:val="0"/>
          <w:numId w:val="8"/>
        </w:numPr>
        <w:shd w:val="clear" w:color="auto" w:fill="FFFFFF"/>
        <w:spacing w:before="0" w:after="240"/>
        <w:jc w:val="both"/>
        <w:rPr>
          <w:sz w:val="28"/>
          <w:szCs w:val="28"/>
          <w:lang w:val="en-US"/>
        </w:rPr>
      </w:pPr>
      <w:r w:rsidRPr="00CF4155">
        <w:rPr>
          <w:sz w:val="28"/>
          <w:szCs w:val="28"/>
          <w:lang w:val="en-US"/>
        </w:rPr>
        <w:t xml:space="preserve">and advance rulings are binding on the subject.  </w:t>
      </w:r>
    </w:p>
    <w:p w:rsidR="00455258" w:rsidRPr="00CF4155" w:rsidRDefault="00CF4155" w:rsidP="0058691A">
      <w:pPr>
        <w:pStyle w:val="NormalWeb"/>
        <w:shd w:val="clear" w:color="auto" w:fill="FFFFFF"/>
        <w:spacing w:before="0" w:beforeAutospacing="0" w:after="240" w:afterAutospacing="0"/>
        <w:jc w:val="both"/>
        <w:rPr>
          <w:sz w:val="28"/>
          <w:szCs w:val="28"/>
          <w:lang w:val="en-US"/>
        </w:rPr>
      </w:pPr>
      <w:r w:rsidRPr="00CF4155">
        <w:rPr>
          <w:rFonts w:eastAsiaTheme="minorHAnsi"/>
          <w:bCs/>
          <w:sz w:val="28"/>
          <w:szCs w:val="28"/>
          <w:lang w:val="en-US"/>
        </w:rPr>
        <w:t>T</w:t>
      </w:r>
      <w:r w:rsidR="0058691A" w:rsidRPr="00CF4155">
        <w:rPr>
          <w:rFonts w:eastAsiaTheme="minorHAnsi"/>
          <w:bCs/>
          <w:sz w:val="28"/>
          <w:szCs w:val="28"/>
          <w:lang w:val="en-US"/>
        </w:rPr>
        <w:t>he number of advance rulings on c</w:t>
      </w:r>
      <w:r w:rsidR="0058691A" w:rsidRPr="00CF4155">
        <w:rPr>
          <w:rFonts w:eastAsiaTheme="minorEastAsia"/>
          <w:sz w:val="28"/>
          <w:szCs w:val="28"/>
          <w:lang w:val="en-US"/>
        </w:rPr>
        <w:t xml:space="preserve">lassification: over 250 cases per year </w:t>
      </w:r>
    </w:p>
    <w:p w:rsidR="00455258" w:rsidRPr="00CF4155" w:rsidRDefault="00CF4155" w:rsidP="0058691A">
      <w:pPr>
        <w:pStyle w:val="NormalWeb"/>
        <w:shd w:val="clear" w:color="auto" w:fill="FFFFFF"/>
        <w:spacing w:before="0" w:after="240"/>
        <w:jc w:val="both"/>
        <w:rPr>
          <w:b/>
          <w:sz w:val="28"/>
          <w:szCs w:val="28"/>
          <w:lang w:val="en-US"/>
        </w:rPr>
      </w:pPr>
      <w:r w:rsidRPr="00CF4155">
        <w:rPr>
          <w:b/>
          <w:bCs/>
          <w:sz w:val="28"/>
          <w:szCs w:val="28"/>
          <w:lang w:val="en-US"/>
        </w:rPr>
        <w:t>A</w:t>
      </w:r>
      <w:r w:rsidR="0058691A" w:rsidRPr="00CF4155">
        <w:rPr>
          <w:b/>
          <w:bCs/>
          <w:sz w:val="28"/>
          <w:szCs w:val="28"/>
          <w:lang w:val="en-US"/>
        </w:rPr>
        <w:t xml:space="preserve">dvance rulings will be available for customs issues: </w:t>
      </w:r>
    </w:p>
    <w:p w:rsidR="008771D5" w:rsidRPr="00CF4155" w:rsidRDefault="0058691A" w:rsidP="0058691A">
      <w:pPr>
        <w:pStyle w:val="NormalWeb"/>
        <w:numPr>
          <w:ilvl w:val="0"/>
          <w:numId w:val="10"/>
        </w:numPr>
        <w:shd w:val="clear" w:color="auto" w:fill="FFFFFF"/>
        <w:spacing w:before="0" w:after="240"/>
        <w:jc w:val="both"/>
        <w:rPr>
          <w:b/>
          <w:sz w:val="28"/>
          <w:szCs w:val="28"/>
          <w:lang w:val="en-US"/>
        </w:rPr>
      </w:pPr>
      <w:r w:rsidRPr="00CF4155">
        <w:rPr>
          <w:b/>
          <w:bCs/>
          <w:sz w:val="28"/>
          <w:szCs w:val="28"/>
          <w:lang w:val="en-US"/>
        </w:rPr>
        <w:t xml:space="preserve">the appropriate method or criteria, and the application thereof, to be used for determining the customs value under a particular set of facts (validity - 3 months). </w:t>
      </w:r>
    </w:p>
    <w:p w:rsidR="008771D5" w:rsidRPr="00CF4155" w:rsidRDefault="00CF4155" w:rsidP="0058691A">
      <w:pPr>
        <w:pStyle w:val="NormalWeb"/>
        <w:shd w:val="clear" w:color="auto" w:fill="FFFFFF"/>
        <w:spacing w:before="0" w:after="240"/>
        <w:ind w:left="720"/>
        <w:jc w:val="both"/>
        <w:rPr>
          <w:sz w:val="32"/>
          <w:szCs w:val="28"/>
          <w:lang w:val="en-US"/>
        </w:rPr>
      </w:pPr>
      <w:r>
        <w:rPr>
          <w:sz w:val="28"/>
          <w:szCs w:val="27"/>
          <w:lang w:val="en-US"/>
        </w:rPr>
        <w:t>T</w:t>
      </w:r>
      <w:r w:rsidR="0058691A" w:rsidRPr="00CF4155">
        <w:rPr>
          <w:sz w:val="28"/>
          <w:szCs w:val="27"/>
          <w:lang w:val="en-US"/>
        </w:rPr>
        <w:t xml:space="preserve">he bill on amendments to the customs code of </w:t>
      </w:r>
      <w:r w:rsidRPr="00CF4155">
        <w:rPr>
          <w:sz w:val="28"/>
          <w:szCs w:val="27"/>
          <w:lang w:val="en-US"/>
        </w:rPr>
        <w:t>Ukraine</w:t>
      </w:r>
      <w:r w:rsidR="0058691A" w:rsidRPr="00CF4155">
        <w:rPr>
          <w:sz w:val="28"/>
          <w:szCs w:val="27"/>
          <w:lang w:val="en-US"/>
        </w:rPr>
        <w:t xml:space="preserve"> with regard to the extension of the list of previous decisions and introduction of the mechanism for issuing such preliminary decisions 23.12.2019 submitted to the </w:t>
      </w:r>
      <w:r>
        <w:rPr>
          <w:sz w:val="28"/>
          <w:szCs w:val="27"/>
          <w:lang w:val="en-US"/>
        </w:rPr>
        <w:t>Cabinet of M</w:t>
      </w:r>
      <w:r w:rsidR="0058691A" w:rsidRPr="00CF4155">
        <w:rPr>
          <w:sz w:val="28"/>
          <w:szCs w:val="27"/>
          <w:lang w:val="en-US"/>
        </w:rPr>
        <w:t xml:space="preserve">inisters </w:t>
      </w:r>
      <w:r w:rsidRPr="00CF4155">
        <w:rPr>
          <w:sz w:val="28"/>
          <w:szCs w:val="27"/>
          <w:lang w:val="en-US"/>
        </w:rPr>
        <w:t>Ukraine</w:t>
      </w:r>
      <w:r w:rsidR="0058691A" w:rsidRPr="00CF4155">
        <w:rPr>
          <w:sz w:val="28"/>
          <w:szCs w:val="27"/>
          <w:lang w:val="en-US"/>
        </w:rPr>
        <w:t>.</w:t>
      </w:r>
    </w:p>
    <w:p w:rsidR="001C48E9" w:rsidRPr="00CF4155" w:rsidRDefault="00CF4155" w:rsidP="00CF4155">
      <w:pPr>
        <w:pStyle w:val="NormalWeb"/>
        <w:shd w:val="clear" w:color="auto" w:fill="FFFFFF"/>
        <w:spacing w:before="0" w:beforeAutospacing="0" w:after="240" w:afterAutospacing="0"/>
        <w:rPr>
          <w:sz w:val="28"/>
          <w:szCs w:val="28"/>
          <w:shd w:val="clear" w:color="auto" w:fill="FFFFFF"/>
          <w:lang w:val="en-US"/>
        </w:rPr>
      </w:pPr>
      <w:r w:rsidRPr="00CF4155">
        <w:rPr>
          <w:b/>
          <w:sz w:val="28"/>
          <w:szCs w:val="28"/>
          <w:shd w:val="clear" w:color="auto" w:fill="FFFFFF"/>
          <w:lang w:val="en-US"/>
        </w:rPr>
        <w:t>T</w:t>
      </w:r>
      <w:r w:rsidR="0058691A" w:rsidRPr="00CF4155">
        <w:rPr>
          <w:b/>
          <w:sz w:val="28"/>
          <w:szCs w:val="28"/>
          <w:shd w:val="clear" w:color="auto" w:fill="FFFFFF"/>
          <w:lang w:val="en-US"/>
        </w:rPr>
        <w:t>here are issues with advance rulings realization:</w:t>
      </w:r>
      <w:r w:rsidR="0058691A" w:rsidRPr="00CF4155">
        <w:rPr>
          <w:b/>
          <w:sz w:val="28"/>
          <w:szCs w:val="28"/>
          <w:lang w:val="en-US"/>
        </w:rPr>
        <w:br/>
      </w:r>
      <w:r w:rsidR="0058691A" w:rsidRPr="00CF4155">
        <w:rPr>
          <w:sz w:val="28"/>
          <w:szCs w:val="28"/>
          <w:shd w:val="clear" w:color="auto" w:fill="FFFFFF"/>
          <w:lang w:val="en-US"/>
        </w:rPr>
        <w:t>- low level of technical base;</w:t>
      </w:r>
      <w:r w:rsidR="0058691A" w:rsidRPr="00CF4155">
        <w:rPr>
          <w:sz w:val="28"/>
          <w:szCs w:val="28"/>
          <w:lang w:val="en-US"/>
        </w:rPr>
        <w:br/>
      </w:r>
      <w:r w:rsidR="0058691A" w:rsidRPr="00CF4155">
        <w:rPr>
          <w:sz w:val="28"/>
          <w:szCs w:val="28"/>
          <w:shd w:val="clear" w:color="auto" w:fill="FFFFFF"/>
          <w:lang w:val="en-US"/>
        </w:rPr>
        <w:t>- imperfection of existing regulatory framework;</w:t>
      </w:r>
      <w:r w:rsidR="0058691A" w:rsidRPr="00CF4155">
        <w:rPr>
          <w:sz w:val="28"/>
          <w:szCs w:val="28"/>
          <w:lang w:val="en-US"/>
        </w:rPr>
        <w:br/>
      </w:r>
      <w:r w:rsidR="0058691A" w:rsidRPr="00CF4155">
        <w:rPr>
          <w:sz w:val="28"/>
          <w:szCs w:val="28"/>
          <w:shd w:val="clear" w:color="auto" w:fill="FFFFFF"/>
          <w:lang w:val="en-US"/>
        </w:rPr>
        <w:t>- level of qualification of officials.</w:t>
      </w:r>
    </w:p>
    <w:p w:rsidR="001C48E9" w:rsidRPr="00CF4155" w:rsidRDefault="00CF4155" w:rsidP="0058691A">
      <w:pPr>
        <w:pStyle w:val="NormalWeb"/>
        <w:shd w:val="clear" w:color="auto" w:fill="FFFFFF"/>
        <w:spacing w:before="0" w:beforeAutospacing="0" w:after="240" w:afterAutospacing="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</w:t>
      </w:r>
      <w:r w:rsidR="0058691A" w:rsidRPr="00CF4155">
        <w:rPr>
          <w:b/>
          <w:sz w:val="28"/>
          <w:szCs w:val="28"/>
          <w:lang w:val="en-US"/>
        </w:rPr>
        <w:t>evelopment</w:t>
      </w:r>
    </w:p>
    <w:p w:rsidR="0089756C" w:rsidRPr="00CF4155" w:rsidRDefault="0058691A" w:rsidP="0058691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CF41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 introduction of an open interactive online register of advance ruling on the good's tariff classification is planning in 2020 (taking into account the need to protect commercially confidential information</w:t>
      </w:r>
      <w:proofErr w:type="gramStart"/>
      <w:r w:rsidRPr="00CF41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 .</w:t>
      </w:r>
      <w:proofErr w:type="gramEnd"/>
    </w:p>
    <w:p w:rsidR="001C48E9" w:rsidRPr="00CF4155" w:rsidRDefault="0058691A" w:rsidP="0058691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CF41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the introduction of custom software will lead to the ability to view data over the internet, will provide users a simple search for classification solutions by keyword or product code.</w:t>
      </w:r>
    </w:p>
    <w:p w:rsidR="00455258" w:rsidRPr="00CF4155" w:rsidRDefault="00455258" w:rsidP="0058691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C308A7" w:rsidRPr="00CF4155" w:rsidRDefault="00C308A7" w:rsidP="0058691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308A7" w:rsidRPr="00CF41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6208"/>
    <w:multiLevelType w:val="hybridMultilevel"/>
    <w:tmpl w:val="6FFC94C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5DE5"/>
    <w:multiLevelType w:val="hybridMultilevel"/>
    <w:tmpl w:val="7AD0F39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561E"/>
    <w:multiLevelType w:val="hybridMultilevel"/>
    <w:tmpl w:val="17C420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D6B64"/>
    <w:multiLevelType w:val="hybridMultilevel"/>
    <w:tmpl w:val="617A1E10"/>
    <w:lvl w:ilvl="0" w:tplc="4C1075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E6B0F"/>
    <w:multiLevelType w:val="hybridMultilevel"/>
    <w:tmpl w:val="CFEE7A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20622"/>
    <w:multiLevelType w:val="hybridMultilevel"/>
    <w:tmpl w:val="0470AC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B45AC"/>
    <w:multiLevelType w:val="hybridMultilevel"/>
    <w:tmpl w:val="1FFEA6B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F247B"/>
    <w:multiLevelType w:val="hybridMultilevel"/>
    <w:tmpl w:val="52A024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86B3F"/>
    <w:multiLevelType w:val="hybridMultilevel"/>
    <w:tmpl w:val="3822C7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072B1"/>
    <w:multiLevelType w:val="hybridMultilevel"/>
    <w:tmpl w:val="9ED262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2F58"/>
    <w:multiLevelType w:val="hybridMultilevel"/>
    <w:tmpl w:val="F4DE86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37"/>
    <w:rsid w:val="0015502B"/>
    <w:rsid w:val="001678B1"/>
    <w:rsid w:val="001C48E9"/>
    <w:rsid w:val="002844D4"/>
    <w:rsid w:val="004401FD"/>
    <w:rsid w:val="00455258"/>
    <w:rsid w:val="00533A31"/>
    <w:rsid w:val="00536B4F"/>
    <w:rsid w:val="0056498E"/>
    <w:rsid w:val="00570E20"/>
    <w:rsid w:val="00582369"/>
    <w:rsid w:val="0058691A"/>
    <w:rsid w:val="005B511B"/>
    <w:rsid w:val="005D53FD"/>
    <w:rsid w:val="00651C4B"/>
    <w:rsid w:val="006603CE"/>
    <w:rsid w:val="006C669C"/>
    <w:rsid w:val="00724581"/>
    <w:rsid w:val="00733CA5"/>
    <w:rsid w:val="0078607C"/>
    <w:rsid w:val="008100C9"/>
    <w:rsid w:val="0081400A"/>
    <w:rsid w:val="00820410"/>
    <w:rsid w:val="008520F7"/>
    <w:rsid w:val="00875077"/>
    <w:rsid w:val="008771D5"/>
    <w:rsid w:val="0089756C"/>
    <w:rsid w:val="008D24DE"/>
    <w:rsid w:val="00984EF1"/>
    <w:rsid w:val="00A21B74"/>
    <w:rsid w:val="00A271F9"/>
    <w:rsid w:val="00AE4EB3"/>
    <w:rsid w:val="00B04B37"/>
    <w:rsid w:val="00B50588"/>
    <w:rsid w:val="00BD6A1F"/>
    <w:rsid w:val="00C308A7"/>
    <w:rsid w:val="00CB5C60"/>
    <w:rsid w:val="00CD3AE0"/>
    <w:rsid w:val="00CF4155"/>
    <w:rsid w:val="00D64F3A"/>
    <w:rsid w:val="00D83E7D"/>
    <w:rsid w:val="00DC46E3"/>
    <w:rsid w:val="00E259C5"/>
    <w:rsid w:val="00E46763"/>
    <w:rsid w:val="00E61096"/>
    <w:rsid w:val="00E714B1"/>
    <w:rsid w:val="00EE485A"/>
    <w:rsid w:val="00F1578E"/>
    <w:rsid w:val="00F873CA"/>
    <w:rsid w:val="00FB7B00"/>
    <w:rsid w:val="00FD6B91"/>
    <w:rsid w:val="00F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327985-BAAD-42E6-8C4F-633ECA2B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Normal"/>
    <w:rsid w:val="00F8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Normal"/>
    <w:rsid w:val="00F8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uiPriority w:val="99"/>
    <w:rsid w:val="00CB5C6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ru-RU" w:eastAsia="ru-RU"/>
    </w:rPr>
  </w:style>
  <w:style w:type="table" w:styleId="TableGrid">
    <w:name w:val="Table Grid"/>
    <w:basedOn w:val="TableNormal"/>
    <w:uiPriority w:val="99"/>
    <w:rsid w:val="00CB5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410"/>
    <w:pPr>
      <w:ind w:left="720"/>
      <w:contextualSpacing/>
    </w:pPr>
  </w:style>
  <w:style w:type="paragraph" w:customStyle="1" w:styleId="rvps2">
    <w:name w:val="rvps2"/>
    <w:basedOn w:val="Normal"/>
    <w:rsid w:val="00A21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37">
    <w:name w:val="rvts37"/>
    <w:rsid w:val="00A21B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09265-E0C9-45FE-BD5F-B9D7E249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McElvenney, Claire</cp:lastModifiedBy>
  <cp:revision>2</cp:revision>
  <dcterms:created xsi:type="dcterms:W3CDTF">2020-02-10T07:09:00Z</dcterms:created>
  <dcterms:modified xsi:type="dcterms:W3CDTF">2020-02-10T07:09:00Z</dcterms:modified>
</cp:coreProperties>
</file>